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2">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3">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4"/>
          <w:footerReference w:type="even" r:id="rId15"/>
          <w:footerReference w:type="default" r:id="rId16"/>
          <w:footerReference w:type="first" r:id="rId17"/>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613"/>
        <w:gridCol w:w="5250"/>
        <w:gridCol w:w="259"/>
        <w:gridCol w:w="184"/>
        <w:gridCol w:w="4150"/>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1BBC411" w:rsidR="00093CA9" w:rsidRDefault="00561513"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2E724D"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7441EA9" w14:textId="77777777" w:rsidR="00D448D0" w:rsidRDefault="00D448D0" w:rsidP="00D448D0">
            <w:r>
              <w:t xml:space="preserve">"National Strategy for the Mitigation of Short-Lived Climate Pollutants" </w:t>
            </w:r>
          </w:p>
          <w:p w14:paraId="4B590DC3" w14:textId="77777777" w:rsidR="00D448D0" w:rsidRDefault="00D448D0" w:rsidP="00D448D0"/>
          <w:p w14:paraId="313A697B" w14:textId="3271DFE9" w:rsidR="00093CA9" w:rsidRPr="002E724D" w:rsidRDefault="00D448D0" w:rsidP="00D448D0">
            <w:pPr>
              <w:rPr>
                <w:lang w:val="es-ES"/>
              </w:rPr>
            </w:pPr>
            <w:r w:rsidRPr="002E724D">
              <w:rPr>
                <w:lang w:val="es-ES"/>
              </w:rPr>
              <w:t>“Estrategia Nacional para la mitigación de contaminantes climáticos de vida corta”</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FA3E49B" w:rsidR="00093CA9" w:rsidRDefault="00771E23" w:rsidP="00093CA9">
            <w:hyperlink r:id="rId18" w:history="1">
              <w:r w:rsidRPr="0076071B">
                <w:rPr>
                  <w:rStyle w:val="Hipervnculo"/>
                </w:rPr>
                <w:t>https://web.archive.org/web/20250711164401/https://www.ccacoalition.org/sites/default/files/resources/ESTRATEGIA%20MITIGACI%C3%93N%20CONTAMINANTES%20VIDA%20CORTA.pdf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D06234B" w:rsidR="00093CA9" w:rsidRDefault="00C6376A"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F84F2F2"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DBD397E" w:rsidR="00093CA9" w:rsidRDefault="00D448D0"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7EE0CD7" w:rsidR="00093CA9" w:rsidRPr="00DF61EF" w:rsidRDefault="00DF61EF" w:rsidP="00093CA9">
            <w:r w:rsidRPr="00DF61EF">
              <w:t>The policy tool is Colombia’s National Strategy for the Mitigation of Short-Lived Climate Pollutants (SLCPs). Its goal is to reduce emissions of methane, black carbon, tropospheric ozone, and HFCs to improve air quality, public health, and mitigate climate change in the short term. It supports Colombia’s commitments under the Paris Agreement and Kigali Amendment.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173887F" w:rsidR="00093CA9" w:rsidRDefault="002E724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C06B73F" w:rsidR="00093CA9" w:rsidRPr="00173D7C" w:rsidRDefault="002E724D" w:rsidP="00093CA9">
            <w:pPr>
              <w:rPr>
                <w:color w:val="000000" w:themeColor="text1"/>
              </w:rPr>
            </w:pPr>
            <w:r>
              <w:rPr>
                <w:color w:val="000000" w:themeColor="text1"/>
              </w:rPr>
              <w:t>2018</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C1BA38A" w:rsidR="00093CA9" w:rsidRPr="00173D7C" w:rsidRDefault="00DF61EF" w:rsidP="00093CA9">
            <w:pPr>
              <w:rPr>
                <w:color w:val="000000" w:themeColor="text1"/>
              </w:rPr>
            </w:pPr>
            <w:r>
              <w:rPr>
                <w:color w:val="000000" w:themeColor="text1"/>
              </w:rPr>
              <w:t>2018</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8BEB879" w:rsidR="00093CA9" w:rsidRDefault="002E724D" w:rsidP="00093CA9">
            <w:r w:rsidRPr="002E724D">
              <w:t>Ministry of Environment and Sustainable Development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4178F52" w:rsidR="00093CA9" w:rsidRPr="002E724D" w:rsidRDefault="002E724D" w:rsidP="00093CA9">
            <w:r w:rsidRPr="002E724D">
              <w:t>Ministry of Environment and Sustainable Development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3FB66508" w:rsidR="00093CA9" w:rsidRPr="006B7B0D" w:rsidRDefault="002E724D"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05AEB0F" w:rsidR="00093CA9" w:rsidRDefault="002E724D"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0F1FAB39" w14:textId="77777777" w:rsidR="002E724D" w:rsidRPr="002E724D" w:rsidRDefault="002E724D" w:rsidP="002E724D">
            <w:pPr>
              <w:keepNext/>
              <w:rPr>
                <w:color w:val="000000" w:themeColor="text1"/>
                <w:lang w:val="en-US"/>
              </w:rPr>
            </w:pPr>
            <w:r w:rsidRPr="002E724D">
              <w:rPr>
                <w:color w:val="000000" w:themeColor="text1"/>
                <w:lang w:val="en-US"/>
              </w:rPr>
              <w:t>The strategy includes several monitoring systems and reporting mechanisms:</w:t>
            </w:r>
          </w:p>
          <w:p w14:paraId="4CF87097" w14:textId="77777777" w:rsidR="002E724D" w:rsidRPr="002E724D" w:rsidRDefault="002E724D" w:rsidP="002E724D">
            <w:pPr>
              <w:keepNext/>
              <w:rPr>
                <w:color w:val="000000" w:themeColor="text1"/>
                <w:lang w:val="en-US"/>
              </w:rPr>
            </w:pPr>
            <w:r w:rsidRPr="002E724D">
              <w:rPr>
                <w:color w:val="000000" w:themeColor="text1"/>
                <w:lang w:val="en-US"/>
              </w:rPr>
              <w:t>Annual progress reviews by the Ministry of Environment and Sustainable Development.</w:t>
            </w:r>
          </w:p>
          <w:p w14:paraId="7204243F" w14:textId="77777777" w:rsidR="002E724D" w:rsidRPr="002E724D" w:rsidRDefault="002E724D" w:rsidP="002E724D">
            <w:pPr>
              <w:keepNext/>
              <w:rPr>
                <w:color w:val="000000" w:themeColor="text1"/>
                <w:lang w:val="en-US"/>
              </w:rPr>
            </w:pPr>
            <w:r w:rsidRPr="002E724D">
              <w:rPr>
                <w:color w:val="000000" w:themeColor="text1"/>
                <w:lang w:val="en-US"/>
              </w:rPr>
              <w:t>Implementation reports from 2020 to 2030, which include inventories of black carbon and other pollutants, scenario analyses, and benefit estimations.</w:t>
            </w:r>
          </w:p>
          <w:p w14:paraId="23EF8B76" w14:textId="77777777" w:rsidR="002E724D" w:rsidRPr="002E724D" w:rsidRDefault="002E724D" w:rsidP="002E724D">
            <w:pPr>
              <w:keepNext/>
              <w:rPr>
                <w:color w:val="000000" w:themeColor="text1"/>
                <w:lang w:val="en-US"/>
              </w:rPr>
            </w:pPr>
            <w:r w:rsidRPr="002E724D">
              <w:rPr>
                <w:color w:val="000000" w:themeColor="text1"/>
                <w:lang w:val="en-US"/>
              </w:rPr>
              <w:t xml:space="preserve">Integration of SLCP data into Colombia’s national monitoring, reporting, and verification (MRV) systems, including the Sistema de </w:t>
            </w:r>
            <w:proofErr w:type="spellStart"/>
            <w:r w:rsidRPr="002E724D">
              <w:rPr>
                <w:color w:val="000000" w:themeColor="text1"/>
                <w:lang w:val="en-US"/>
              </w:rPr>
              <w:t>Información</w:t>
            </w:r>
            <w:proofErr w:type="spellEnd"/>
            <w:r w:rsidRPr="002E724D">
              <w:rPr>
                <w:color w:val="000000" w:themeColor="text1"/>
                <w:lang w:val="en-US"/>
              </w:rPr>
              <w:t xml:space="preserve"> Ambiental </w:t>
            </w:r>
            <w:proofErr w:type="gramStart"/>
            <w:r w:rsidRPr="002E724D">
              <w:rPr>
                <w:color w:val="000000" w:themeColor="text1"/>
                <w:lang w:val="en-US"/>
              </w:rPr>
              <w:t>para Colombia</w:t>
            </w:r>
            <w:proofErr w:type="gramEnd"/>
            <w:r w:rsidRPr="002E724D">
              <w:rPr>
                <w:color w:val="000000" w:themeColor="text1"/>
                <w:lang w:val="en-US"/>
              </w:rPr>
              <w:t xml:space="preserve"> (SIAC) and the </w:t>
            </w:r>
            <w:proofErr w:type="spellStart"/>
            <w:r w:rsidRPr="002E724D">
              <w:rPr>
                <w:color w:val="000000" w:themeColor="text1"/>
                <w:lang w:val="en-US"/>
              </w:rPr>
              <w:t>Registro</w:t>
            </w:r>
            <w:proofErr w:type="spellEnd"/>
            <w:r w:rsidRPr="002E724D">
              <w:rPr>
                <w:color w:val="000000" w:themeColor="text1"/>
                <w:lang w:val="en-US"/>
              </w:rPr>
              <w:t xml:space="preserve"> Nacional de </w:t>
            </w:r>
            <w:proofErr w:type="spellStart"/>
            <w:r w:rsidRPr="002E724D">
              <w:rPr>
                <w:color w:val="000000" w:themeColor="text1"/>
                <w:lang w:val="en-US"/>
              </w:rPr>
              <w:t>Reducción</w:t>
            </w:r>
            <w:proofErr w:type="spellEnd"/>
            <w:r w:rsidRPr="002E724D">
              <w:rPr>
                <w:color w:val="000000" w:themeColor="text1"/>
                <w:lang w:val="en-US"/>
              </w:rPr>
              <w:t xml:space="preserve"> de </w:t>
            </w:r>
            <w:proofErr w:type="spellStart"/>
            <w:r w:rsidRPr="002E724D">
              <w:rPr>
                <w:color w:val="000000" w:themeColor="text1"/>
                <w:lang w:val="en-US"/>
              </w:rPr>
              <w:t>Emisiones</w:t>
            </w:r>
            <w:proofErr w:type="spellEnd"/>
            <w:r w:rsidRPr="002E724D">
              <w:rPr>
                <w:color w:val="000000" w:themeColor="text1"/>
                <w:lang w:val="en-US"/>
              </w:rPr>
              <w:t xml:space="preserve"> (</w:t>
            </w:r>
            <w:proofErr w:type="spellStart"/>
            <w:r w:rsidRPr="002E724D">
              <w:rPr>
                <w:color w:val="000000" w:themeColor="text1"/>
                <w:lang w:val="en-US"/>
              </w:rPr>
              <w:t>RENARE</w:t>
            </w:r>
            <w:proofErr w:type="spellEnd"/>
            <w:r w:rsidRPr="002E724D">
              <w:rPr>
                <w:color w:val="000000" w:themeColor="text1"/>
                <w:lang w:val="en-US"/>
              </w:rPr>
              <w:t>).</w:t>
            </w:r>
          </w:p>
          <w:p w14:paraId="37C5EA09" w14:textId="77777777" w:rsidR="002E724D" w:rsidRPr="002E724D" w:rsidRDefault="002E724D" w:rsidP="002E724D">
            <w:pPr>
              <w:keepNext/>
              <w:rPr>
                <w:color w:val="000000" w:themeColor="text1"/>
                <w:lang w:val="en-US"/>
              </w:rPr>
            </w:pPr>
            <w:r w:rsidRPr="002E724D">
              <w:rPr>
                <w:color w:val="000000" w:themeColor="text1"/>
                <w:lang w:val="en-US"/>
              </w:rPr>
              <w:t>Plans to publish and update a national black carbon inventory and to include it in Colombia’s Biennial Update Reports to the UNFCCC.</w:t>
            </w:r>
          </w:p>
          <w:p w14:paraId="2C2128DB" w14:textId="77777777" w:rsidR="00093CA9" w:rsidRPr="002E724D"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45B6D00C" w:rsidR="00CF5268" w:rsidRDefault="002E724D"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52261F09" w:rsidR="00CF5268" w:rsidRDefault="002E724D" w:rsidP="00DD3144">
            <w: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1B818A57" w:rsidR="00CF5268" w:rsidRDefault="002E724D"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278B00E5" w:rsidR="00CF5268" w:rsidRDefault="002E724D" w:rsidP="00DD3144">
            <w:r>
              <w:t>X</w:t>
            </w:r>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6469CE76" w:rsidR="00CF5268" w:rsidRDefault="002E724D" w:rsidP="00DD3144">
            <w:r>
              <w:t>X</w:t>
            </w:r>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4A228359" w:rsidR="466E435B" w:rsidRDefault="002E724D"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2915B830" w:rsidR="00CF5268" w:rsidRDefault="002E724D"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CD9D6E8" w:rsidR="466E435B" w:rsidRDefault="002E724D"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426D1CA7" w:rsidR="466E435B" w:rsidRDefault="002E724D"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642EF627" w:rsidR="466E435B" w:rsidRDefault="002E724D"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1F749502" w:rsidR="466E435B" w:rsidRDefault="002E724D" w:rsidP="00DD3144">
            <w:r>
              <w:t>X</w:t>
            </w:r>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CE02C2C" w:rsidR="00CF5268" w:rsidRDefault="00544F0C"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0B45CF06" w:rsidR="004B2D74" w:rsidRDefault="00544F0C" w:rsidP="00DD3144">
            <w:r>
              <w:t>X</w:t>
            </w:r>
          </w:p>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61484018" w:rsidR="004B2D74" w:rsidRDefault="00544F0C" w:rsidP="00DD3144">
            <w:r>
              <w:t>X</w:t>
            </w:r>
          </w:p>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2BCFD267" w:rsidR="004B2D74" w:rsidRDefault="00544F0C" w:rsidP="00DD3144">
            <w:r>
              <w:t>x</w:t>
            </w:r>
          </w:p>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5EC792A8" w:rsidR="004B2D74" w:rsidRDefault="00544F0C" w:rsidP="00DD3144">
            <w:r>
              <w:t>x</w:t>
            </w:r>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41EDA9EE" w:rsidR="004B2D74" w:rsidRDefault="00544F0C" w:rsidP="00DD3144">
            <w:r>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1E85386F" w:rsidR="00B536E6" w:rsidRDefault="00544F0C" w:rsidP="00DD3144">
            <w:r>
              <w:t>X</w:t>
            </w:r>
          </w:p>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77D2CEC4" w:rsidR="00B536E6" w:rsidRDefault="00544F0C"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4C3961A3" w:rsidR="00B536E6" w:rsidRDefault="00544F0C" w:rsidP="00DD3144">
            <w:r>
              <w:t>X</w:t>
            </w:r>
          </w:p>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5055D42B" w:rsidR="00B536E6" w:rsidRDefault="00544F0C" w:rsidP="00DD3144">
            <w:r>
              <w:t>X</w:t>
            </w:r>
          </w:p>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0B974F4" w:rsidR="00B536E6" w:rsidRDefault="00544F0C" w:rsidP="00DD3144">
            <w:r>
              <w:t>X</w:t>
            </w:r>
          </w:p>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15C89E24" w:rsidR="00B536E6" w:rsidRDefault="00544F0C"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57169661" w:rsidR="00B536E6" w:rsidRDefault="00544F0C"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4604C28A" w:rsidR="00B536E6" w:rsidRDefault="00544F0C" w:rsidP="00DD3144">
            <w:r>
              <w:t>X</w:t>
            </w:r>
          </w:p>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672CB1E0" w:rsidR="00B536E6" w:rsidRDefault="00544F0C"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38B0C6FA" w:rsidR="00B536E6" w:rsidRDefault="00544F0C"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749A84C4" w:rsidR="00B536E6" w:rsidRDefault="00544F0C"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6E45008" w:rsidR="00B536E6" w:rsidRDefault="00544F0C"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5FDF346C" w:rsidR="00B536E6" w:rsidRDefault="00544F0C"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10EAF432" w:rsidR="00B536E6" w:rsidRDefault="00544F0C"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20A6D74A" w:rsidR="00B536E6" w:rsidRDefault="00544F0C"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5F126C43" w:rsidR="00B536E6" w:rsidRDefault="00544F0C"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2BAFA8A9" w:rsidR="00B536E6" w:rsidRDefault="00544F0C"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305D9837" w:rsidR="00B536E6" w:rsidRDefault="00544F0C"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1005ADE0" w:rsidR="00B536E6" w:rsidRDefault="00544F0C"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09B041A0" w:rsidR="00B536E6" w:rsidRDefault="00544F0C"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165E89A3" w:rsidR="00B536E6" w:rsidRDefault="00544F0C"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90F088B" w14:textId="334FEA9B" w:rsidR="00544F0C" w:rsidRDefault="00544F0C" w:rsidP="00544F0C">
            <w:r>
              <w:t>Government agencies and departments (national, regional, local) are the primary mandatory targets. They are responsible for implementing, reporting, and integrating SLCP mitigation into planning and policy instruments. This includes ministries (e.g., Environment, Transport, Energy), regional environmental authorities, and municipal governments.</w:t>
            </w:r>
          </w:p>
          <w:p w14:paraId="1F084AA8" w14:textId="74351412" w:rsidR="00544F0C" w:rsidRDefault="00544F0C" w:rsidP="00544F0C">
            <w:r>
              <w:t>Sectoral actors (e.g., in transport, energy, agriculture, waste, and industry) are also targeted with mandatory responsibilities, particularly through sectoral mitigation plans and regulatory compliance.</w:t>
            </w:r>
          </w:p>
          <w:p w14:paraId="4AED53E3" w14:textId="68D2A5F2" w:rsidR="00544F0C" w:rsidRDefault="00544F0C" w:rsidP="00544F0C">
            <w:r>
              <w:t>Private companies, state-owned companies, and SMEs are not directly mandated but are encouraged to participate voluntarily. Their involvement is often through incentive-based programs, pilot projects, or partnerships (e.g., adoption of clean technologies, participation in NAMA projects).</w:t>
            </w:r>
          </w:p>
          <w:p w14:paraId="020308A1" w14:textId="0DB80CE0" w:rsidR="0039223F" w:rsidRDefault="00544F0C" w:rsidP="00544F0C">
            <w:proofErr w:type="gramStart"/>
            <w:r>
              <w:lastRenderedPageBreak/>
              <w:t>Publicly-traded</w:t>
            </w:r>
            <w:proofErr w:type="gramEnd"/>
            <w:r>
              <w:t xml:space="preserve"> entities, financial institutions, and non-profits are not explicitly targeted in the strategy for climate-related disclosure.</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lastRenderedPageBreak/>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2ABA8A35" w:rsidR="00524D54" w:rsidRPr="003577A4" w:rsidRDefault="00544F0C" w:rsidP="00DD3144">
            <w:r>
              <w:t xml:space="preserve">Not Specified </w:t>
            </w:r>
          </w:p>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3E894C63" w:rsidR="00524D54" w:rsidRPr="003577A4" w:rsidRDefault="00544F0C" w:rsidP="00DD3144">
            <w:r>
              <w:t>Not Specified</w:t>
            </w:r>
          </w:p>
        </w:tc>
      </w:tr>
      <w:tr w:rsidR="00524D54" w:rsidRPr="00C6376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34444D61" w:rsidR="00524D54" w:rsidRPr="00630D85" w:rsidRDefault="00544F0C" w:rsidP="00DD3144">
            <w:pPr>
              <w:rPr>
                <w:lang w:val="sv-SE"/>
              </w:rPr>
            </w:pPr>
            <w:r>
              <w:t>Not Specified</w:t>
            </w: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3B594CCB" w:rsidR="00524D54" w:rsidRPr="003577A4" w:rsidRDefault="00544F0C" w:rsidP="00DD3144">
            <w:r>
              <w:t>Not Specified</w:t>
            </w:r>
          </w:p>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4A73E84F" w:rsidR="00524D54" w:rsidRPr="003577A4" w:rsidRDefault="00544F0C" w:rsidP="00DD3144">
            <w:r>
              <w:t>Not Specified</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369C433C" w:rsidR="00524D54" w:rsidRPr="003577A4" w:rsidRDefault="00544F0C" w:rsidP="00DD3144">
            <w:r w:rsidRPr="00544F0C">
              <w:t>Entities (fixed or mobile sources) are subject to compliance based on their emissions exceeding permissible pollutant thresholds (e.g., PM2.5, PM10, SO₂, NO₂, O₃, CO) as defined in Resolutions 2254/2017, 909/2008, 910/2008, and 1111/2013</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225650D2" w:rsidR="00576ED8" w:rsidRDefault="00544F0C"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DF050AD" w:rsidR="00911F20" w:rsidRDefault="00544F0C"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98E41AA" w:rsidR="00911F20" w:rsidRDefault="00544F0C" w:rsidP="00DD3144">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lastRenderedPageBreak/>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2366098D" w:rsidR="00911F20" w:rsidRDefault="00544F0C" w:rsidP="00DD3144">
            <w:r>
              <w:t>X</w:t>
            </w:r>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6269CFA" w14:textId="77777777" w:rsidR="009C4798" w:rsidRDefault="00544F0C" w:rsidP="00DD3144">
            <w:r>
              <w:t xml:space="preserve">Monetary Fine: </w:t>
            </w:r>
            <w:r w:rsidRPr="00544F0C">
              <w:t>Implied through environmental licensing and emissions regulations.</w:t>
            </w:r>
          </w:p>
          <w:p w14:paraId="77C192E2" w14:textId="77777777" w:rsidR="00544F0C" w:rsidRDefault="00544F0C" w:rsidP="00DD3144">
            <w:r w:rsidRPr="00544F0C">
              <w:t>Restriction on business activities</w:t>
            </w:r>
            <w:r>
              <w:t xml:space="preserve">: </w:t>
            </w:r>
            <w:r w:rsidRPr="00544F0C">
              <w:t>Entities may face operational restrictions if they exceed emission limits or fail to comply with licensing terms.</w:t>
            </w:r>
          </w:p>
          <w:p w14:paraId="6475235A" w14:textId="7099D23E" w:rsidR="00544F0C" w:rsidRDefault="00544F0C" w:rsidP="00DD3144">
            <w:r>
              <w:t xml:space="preserve">Other: </w:t>
            </w:r>
            <w:r w:rsidRPr="00544F0C">
              <w:t>Entities must comply with technical standards (e.g., Resolutions 909/2008, 910/2008, 1111/2013), and failure may result in administrative actions by environmental authorities</w:t>
            </w:r>
            <w:r>
              <w:t>.</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2360C34B" w:rsidR="00C57511" w:rsidRPr="00FA0CF8" w:rsidRDefault="0076312A"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1C17DCD6" w14:textId="77777777" w:rsidR="0076312A" w:rsidRPr="0076312A" w:rsidRDefault="0076312A" w:rsidP="0076312A">
            <w:pPr>
              <w:spacing w:line="276" w:lineRule="auto"/>
              <w:rPr>
                <w:color w:val="000000" w:themeColor="text1"/>
                <w:lang w:val="en-US"/>
              </w:rPr>
            </w:pPr>
            <w:r w:rsidRPr="0076312A">
              <w:rPr>
                <w:color w:val="000000" w:themeColor="text1"/>
                <w:lang w:val="en-US"/>
              </w:rPr>
              <w:t>There is clear evidence that the strategy is being implemented, even in its voluntary components. The document outlines multiple follow-up actions and institutional commitments, including:</w:t>
            </w:r>
          </w:p>
          <w:p w14:paraId="5A7FB6C3" w14:textId="77777777" w:rsidR="0076312A" w:rsidRPr="0076312A" w:rsidRDefault="0076312A" w:rsidP="0076312A">
            <w:pPr>
              <w:spacing w:line="276" w:lineRule="auto"/>
              <w:rPr>
                <w:color w:val="000000" w:themeColor="text1"/>
                <w:lang w:val="en-US"/>
              </w:rPr>
            </w:pPr>
            <w:r w:rsidRPr="0076312A">
              <w:rPr>
                <w:color w:val="000000" w:themeColor="text1"/>
                <w:lang w:val="en-US"/>
              </w:rPr>
              <w:t>Development and publication of a national black carbon inventory.</w:t>
            </w:r>
          </w:p>
          <w:p w14:paraId="70933971" w14:textId="77777777" w:rsidR="0076312A" w:rsidRPr="0076312A" w:rsidRDefault="0076312A" w:rsidP="0076312A">
            <w:pPr>
              <w:spacing w:line="276" w:lineRule="auto"/>
              <w:rPr>
                <w:color w:val="000000" w:themeColor="text1"/>
                <w:lang w:val="en-US"/>
              </w:rPr>
            </w:pPr>
            <w:r w:rsidRPr="0076312A">
              <w:rPr>
                <w:color w:val="000000" w:themeColor="text1"/>
                <w:lang w:val="en-US"/>
              </w:rPr>
              <w:t>Integration of SLCPs into Colombia’s Biennial Update Reports to the UNFCCC.</w:t>
            </w:r>
          </w:p>
          <w:p w14:paraId="5B0FA5C0" w14:textId="77777777" w:rsidR="0076312A" w:rsidRPr="0076312A" w:rsidRDefault="0076312A" w:rsidP="0076312A">
            <w:pPr>
              <w:spacing w:line="276" w:lineRule="auto"/>
              <w:rPr>
                <w:color w:val="000000" w:themeColor="text1"/>
                <w:lang w:val="en-US"/>
              </w:rPr>
            </w:pPr>
            <w:r w:rsidRPr="0076312A">
              <w:rPr>
                <w:color w:val="000000" w:themeColor="text1"/>
                <w:lang w:val="en-US"/>
              </w:rPr>
              <w:t>Launch of pilot projects, such as the replacement of traditional stoves and modernization of brick kilns.</w:t>
            </w:r>
          </w:p>
          <w:p w14:paraId="0256A0C7" w14:textId="77777777" w:rsidR="0076312A" w:rsidRPr="0076312A" w:rsidRDefault="0076312A" w:rsidP="0076312A">
            <w:pPr>
              <w:spacing w:line="276" w:lineRule="auto"/>
              <w:rPr>
                <w:color w:val="000000" w:themeColor="text1"/>
                <w:lang w:val="en-US"/>
              </w:rPr>
            </w:pPr>
            <w:r w:rsidRPr="0076312A">
              <w:rPr>
                <w:color w:val="000000" w:themeColor="text1"/>
                <w:lang w:val="en-US"/>
              </w:rPr>
              <w:t xml:space="preserve">Use of tools like LEAP-IBC and </w:t>
            </w:r>
            <w:proofErr w:type="spellStart"/>
            <w:r w:rsidRPr="0076312A">
              <w:rPr>
                <w:color w:val="000000" w:themeColor="text1"/>
                <w:lang w:val="en-US"/>
              </w:rPr>
              <w:t>BenMAP</w:t>
            </w:r>
            <w:proofErr w:type="spellEnd"/>
            <w:r w:rsidRPr="0076312A">
              <w:rPr>
                <w:color w:val="000000" w:themeColor="text1"/>
                <w:lang w:val="en-US"/>
              </w:rPr>
              <w:t> to estimate co-benefits.</w:t>
            </w:r>
          </w:p>
          <w:p w14:paraId="5062A698" w14:textId="77777777" w:rsidR="0076312A" w:rsidRPr="0076312A" w:rsidRDefault="0076312A" w:rsidP="0076312A">
            <w:pPr>
              <w:spacing w:line="276" w:lineRule="auto"/>
              <w:rPr>
                <w:color w:val="000000" w:themeColor="text1"/>
                <w:lang w:val="en-US"/>
              </w:rPr>
            </w:pPr>
            <w:r w:rsidRPr="0076312A">
              <w:rPr>
                <w:color w:val="000000" w:themeColor="text1"/>
                <w:lang w:val="en-US"/>
              </w:rPr>
              <w:t>Coordination with ministries and regional authorities to implement sectoral mitigation plans.</w:t>
            </w:r>
          </w:p>
          <w:p w14:paraId="739DE6D1" w14:textId="77777777" w:rsidR="0076312A" w:rsidRPr="0076312A" w:rsidRDefault="0076312A" w:rsidP="0076312A">
            <w:pPr>
              <w:spacing w:line="276" w:lineRule="auto"/>
              <w:rPr>
                <w:color w:val="000000" w:themeColor="text1"/>
                <w:lang w:val="en-US"/>
              </w:rPr>
            </w:pPr>
            <w:r w:rsidRPr="0076312A">
              <w:rPr>
                <w:color w:val="000000" w:themeColor="text1"/>
                <w:lang w:val="en-US"/>
              </w:rPr>
              <w:lastRenderedPageBreak/>
              <w:t>Ongoing capacity-building efforts, including training for environmental authorities and technical workshops.</w:t>
            </w:r>
          </w:p>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lastRenderedPageBreak/>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448BBC71" w:rsidR="00CB1649" w:rsidRPr="00FA0CF8" w:rsidRDefault="0076312A"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44657A28" w14:textId="55667174" w:rsidR="0076312A" w:rsidRPr="0076312A" w:rsidRDefault="0076312A" w:rsidP="0076312A">
            <w:pPr>
              <w:spacing w:line="276" w:lineRule="auto"/>
              <w:rPr>
                <w:color w:val="000000" w:themeColor="text1"/>
                <w:lang w:val="es-ES"/>
              </w:rPr>
            </w:pPr>
            <w:r w:rsidRPr="0076312A">
              <w:rPr>
                <w:color w:val="000000" w:themeColor="text1"/>
                <w:lang w:val="en-US"/>
              </w:rPr>
              <w:t xml:space="preserve">The Resolution 909 of 2008, which regulates emissions from fixed sources, has led to the technological reconversion of industrial sectors, such as the brick-making industry. </w:t>
            </w:r>
            <w:proofErr w:type="spellStart"/>
            <w:r w:rsidRPr="0076312A">
              <w:rPr>
                <w:color w:val="000000" w:themeColor="text1"/>
                <w:lang w:val="es-ES"/>
              </w:rPr>
              <w:t>This</w:t>
            </w:r>
            <w:proofErr w:type="spellEnd"/>
            <w:r w:rsidRPr="0076312A">
              <w:rPr>
                <w:color w:val="000000" w:themeColor="text1"/>
                <w:lang w:val="es-ES"/>
              </w:rPr>
              <w:t xml:space="preserve"> </w:t>
            </w:r>
            <w:proofErr w:type="spellStart"/>
            <w:r w:rsidRPr="0076312A">
              <w:rPr>
                <w:color w:val="000000" w:themeColor="text1"/>
                <w:lang w:val="es-ES"/>
              </w:rPr>
              <w:t>demonstrates</w:t>
            </w:r>
            <w:proofErr w:type="spellEnd"/>
            <w:r w:rsidRPr="0076312A">
              <w:rPr>
                <w:color w:val="000000" w:themeColor="text1"/>
                <w:lang w:val="es-ES"/>
              </w:rPr>
              <w:t xml:space="preserve"> </w:t>
            </w:r>
            <w:proofErr w:type="spellStart"/>
            <w:r w:rsidRPr="0076312A">
              <w:rPr>
                <w:color w:val="000000" w:themeColor="text1"/>
                <w:lang w:val="es-ES"/>
              </w:rPr>
              <w:t>enforcement</w:t>
            </w:r>
            <w:proofErr w:type="spellEnd"/>
            <w:r w:rsidRPr="0076312A">
              <w:rPr>
                <w:color w:val="000000" w:themeColor="text1"/>
                <w:lang w:val="es-ES"/>
              </w:rPr>
              <w:t xml:space="preserve"> </w:t>
            </w:r>
            <w:proofErr w:type="spellStart"/>
            <w:r w:rsidRPr="0076312A">
              <w:rPr>
                <w:color w:val="000000" w:themeColor="text1"/>
                <w:lang w:val="es-ES"/>
              </w:rPr>
              <w:t>through</w:t>
            </w:r>
            <w:proofErr w:type="spellEnd"/>
            <w:r w:rsidRPr="0076312A">
              <w:rPr>
                <w:color w:val="000000" w:themeColor="text1"/>
                <w:lang w:val="es-ES"/>
              </w:rPr>
              <w:t xml:space="preserve"> </w:t>
            </w:r>
            <w:proofErr w:type="spellStart"/>
            <w:r w:rsidRPr="0076312A">
              <w:rPr>
                <w:color w:val="000000" w:themeColor="text1"/>
                <w:lang w:val="es-ES"/>
              </w:rPr>
              <w:t>regulatory</w:t>
            </w:r>
            <w:proofErr w:type="spellEnd"/>
            <w:r w:rsidRPr="0076312A">
              <w:rPr>
                <w:color w:val="000000" w:themeColor="text1"/>
                <w:lang w:val="es-ES"/>
              </w:rPr>
              <w:t xml:space="preserve"> </w:t>
            </w:r>
            <w:proofErr w:type="spellStart"/>
            <w:r w:rsidRPr="0076312A">
              <w:rPr>
                <w:color w:val="000000" w:themeColor="text1"/>
                <w:lang w:val="es-ES"/>
              </w:rPr>
              <w:t>compliance</w:t>
            </w:r>
            <w:proofErr w:type="spellEnd"/>
            <w:r w:rsidRPr="0076312A">
              <w:rPr>
                <w:color w:val="000000" w:themeColor="text1"/>
                <w:lang w:val="es-ES"/>
              </w:rPr>
              <w:t xml:space="preserve"> and </w:t>
            </w:r>
            <w:proofErr w:type="spellStart"/>
            <w:r w:rsidRPr="0076312A">
              <w:rPr>
                <w:color w:val="000000" w:themeColor="text1"/>
                <w:lang w:val="es-ES"/>
              </w:rPr>
              <w:t>sectoral</w:t>
            </w:r>
            <w:proofErr w:type="spellEnd"/>
            <w:r w:rsidRPr="0076312A">
              <w:rPr>
                <w:color w:val="000000" w:themeColor="text1"/>
                <w:lang w:val="es-ES"/>
              </w:rPr>
              <w:t xml:space="preserve"> </w:t>
            </w:r>
            <w:proofErr w:type="spellStart"/>
            <w:r w:rsidRPr="0076312A">
              <w:rPr>
                <w:color w:val="000000" w:themeColor="text1"/>
                <w:lang w:val="es-ES"/>
              </w:rPr>
              <w:t>transformation</w:t>
            </w:r>
            <w:proofErr w:type="spellEnd"/>
            <w:r w:rsidRPr="0076312A">
              <w:rPr>
                <w:color w:val="000000" w:themeColor="text1"/>
                <w:lang w:val="es-ES"/>
              </w:rPr>
              <w:t> </w:t>
            </w:r>
          </w:p>
          <w:p w14:paraId="5FA308A0" w14:textId="338A4775" w:rsidR="0076312A" w:rsidRPr="0076312A" w:rsidRDefault="0076312A" w:rsidP="0076312A">
            <w:pPr>
              <w:spacing w:line="276" w:lineRule="auto"/>
              <w:rPr>
                <w:color w:val="000000" w:themeColor="text1"/>
                <w:lang w:val="en-US"/>
              </w:rPr>
            </w:pPr>
            <w:r w:rsidRPr="0076312A">
              <w:rPr>
                <w:color w:val="000000" w:themeColor="text1"/>
                <w:lang w:val="en-US"/>
              </w:rPr>
              <w:t>The Resolutions 910 of 2008 and 1111 of 2013, which regulate emissions from mobile sources, have been actively implemented by local environmental authorities.</w:t>
            </w:r>
          </w:p>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7EF11858" w:rsidR="008063B5" w:rsidRDefault="0076312A"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lastRenderedPageBreak/>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39D3459C" w:rsidR="00042406" w:rsidRDefault="0076312A"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9224FDB" w:rsidR="00042406" w:rsidRDefault="0076312A"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1F1A38EC" w:rsidR="00042406" w:rsidRDefault="0076312A" w:rsidP="00DD3144">
            <w:r>
              <w:t>X</w:t>
            </w:r>
          </w:p>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5F4960FF" w:rsidR="00042406" w:rsidRDefault="0076312A" w:rsidP="00DD3144">
            <w:r>
              <w:t>X</w:t>
            </w:r>
          </w:p>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1D1AF9B2" w:rsidR="00042406" w:rsidRDefault="0076312A"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2EE9DA16" w:rsidR="00042406" w:rsidRDefault="0076312A"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5C604F37" w:rsidR="00042406" w:rsidRDefault="0076312A"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63BA883E" w:rsidR="00931F08" w:rsidRDefault="0076312A" w:rsidP="00DD3144">
            <w:r>
              <w:t>No</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50F33CE1" w:rsidR="00931F08" w:rsidRDefault="0076312A" w:rsidP="00DD3144">
            <w:r>
              <w:t>No</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438CB1E8" w:rsidR="00931F08" w:rsidRDefault="0076312A" w:rsidP="00DD3144">
            <w:r>
              <w:t>No</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lastRenderedPageBreak/>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4C2D44B3" w:rsidR="00931F08" w:rsidRDefault="0076312A" w:rsidP="00DD3144">
            <w:r>
              <w:t>No</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1C612CC3" w:rsidR="00931F08" w:rsidRDefault="0076312A" w:rsidP="00DD3144">
            <w:r>
              <w:t>No</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46A9E9AE" w:rsidR="00931F08" w:rsidRDefault="0092727D" w:rsidP="00DD3144">
            <w:r>
              <w:t>No</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F5F1482" w:rsidR="00931F08" w:rsidRDefault="0092727D" w:rsidP="00DD3144">
            <w:r>
              <w:t>No</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lastRenderedPageBreak/>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279F2281" w:rsidR="00B0479E" w:rsidRPr="00F75058" w:rsidRDefault="0092727D"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698FB24" w:rsidR="00B0479E" w:rsidRPr="00F75058" w:rsidRDefault="0092727D"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2C11C1CD" w:rsidR="00B0479E" w:rsidRPr="00F75058" w:rsidRDefault="0092727D"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6AE65529" w:rsidR="00B0479E" w:rsidRPr="00F75058" w:rsidRDefault="0092727D" w:rsidP="00DD3144">
            <w:pPr>
              <w:rPr>
                <w:rFonts w:ascii="Calibri" w:hAnsi="Calibri" w:cs="Calibri"/>
              </w:rPr>
            </w:pPr>
            <w:r>
              <w:rPr>
                <w:rFonts w:ascii="Calibri" w:hAnsi="Calibri" w:cs="Calibri"/>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2A73C967" w:rsidR="00B0479E" w:rsidRPr="00F75058" w:rsidRDefault="0092727D"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65EC668D" w:rsidR="00B0479E" w:rsidRPr="00F75058" w:rsidRDefault="0092727D"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611F1F61" w:rsidR="00B0479E" w:rsidRPr="00F75058" w:rsidRDefault="0092727D"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5166AD65" w:rsidR="00B0479E" w:rsidRDefault="0092727D" w:rsidP="00DD3144">
            <w:pPr>
              <w:rPr>
                <w:rFonts w:ascii="Calibri" w:hAnsi="Calibri" w:cs="Calibri"/>
              </w:rPr>
            </w:pPr>
            <w:r>
              <w:rPr>
                <w:rFonts w:ascii="Calibri" w:hAnsi="Calibri" w:cs="Calibri"/>
              </w:rPr>
              <w:t>X</w:t>
            </w: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0253485D" w:rsidR="00B0479E" w:rsidRDefault="0092727D" w:rsidP="00DD3144">
            <w:pPr>
              <w:rPr>
                <w:rFonts w:ascii="Calibri" w:hAnsi="Calibri" w:cs="Calibri"/>
              </w:rPr>
            </w:pPr>
            <w:r>
              <w:rPr>
                <w:rFonts w:ascii="Calibri" w:hAnsi="Calibri" w:cs="Calibri"/>
              </w:rPr>
              <w:t>x</w:t>
            </w: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lastRenderedPageBreak/>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36D0096" w:rsidR="00B0479E" w:rsidRDefault="0092727D"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18C17B58" w:rsidR="00B0479E" w:rsidRDefault="0092727D" w:rsidP="00DD3144">
            <w:pPr>
              <w:spacing w:line="276" w:lineRule="auto"/>
              <w:rPr>
                <w:rFonts w:ascii="Calibri" w:hAnsi="Calibri" w:cs="Calibri"/>
              </w:rPr>
            </w:pPr>
            <w:r>
              <w:rPr>
                <w:rFonts w:ascii="Calibri" w:hAnsi="Calibri" w:cs="Calibri"/>
              </w:rPr>
              <w:t>X</w:t>
            </w: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27E1818F" w:rsidR="00B0479E" w:rsidRDefault="0092727D" w:rsidP="00DD3144">
            <w:pPr>
              <w:spacing w:line="276" w:lineRule="auto"/>
              <w:rPr>
                <w:rFonts w:ascii="Calibri" w:hAnsi="Calibri" w:cs="Calibri"/>
              </w:rPr>
            </w:pPr>
            <w:r>
              <w:rPr>
                <w:rFonts w:ascii="Calibri" w:hAnsi="Calibri" w:cs="Calibri"/>
              </w:rPr>
              <w:t>X</w:t>
            </w: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444852CE" w:rsidR="00B0479E" w:rsidRDefault="0092727D" w:rsidP="00DD3144">
            <w:pPr>
              <w:spacing w:line="276" w:lineRule="auto"/>
              <w:rPr>
                <w:rFonts w:ascii="Calibri" w:hAnsi="Calibri" w:cs="Calibri"/>
              </w:rPr>
            </w:pPr>
            <w:r>
              <w:rPr>
                <w:rFonts w:ascii="Calibri" w:hAnsi="Calibri" w:cs="Calibri"/>
              </w:rPr>
              <w:t>X</w:t>
            </w: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Pr="00602155" w:rsidRDefault="00B0479E" w:rsidP="00DD3144"/>
        </w:tc>
        <w:tc>
          <w:tcPr>
            <w:tcW w:w="9450" w:type="dxa"/>
            <w:gridSpan w:val="5"/>
            <w:shd w:val="clear" w:color="auto" w:fill="auto"/>
            <w:vAlign w:val="center"/>
          </w:tcPr>
          <w:p w14:paraId="5221BB38" w14:textId="77777777" w:rsidR="00602155" w:rsidRPr="00602155" w:rsidRDefault="00602155" w:rsidP="00602155">
            <w:pPr>
              <w:rPr>
                <w:lang w:val="en-US"/>
              </w:rPr>
            </w:pPr>
            <w:r w:rsidRPr="00602155">
              <w:rPr>
                <w:lang w:val="en-US"/>
              </w:rPr>
              <w:t>The policy tool recommends the disclosure of GHG emissions offsets or removals through several key provisions:</w:t>
            </w:r>
          </w:p>
          <w:p w14:paraId="73182CA8" w14:textId="77777777" w:rsidR="00602155" w:rsidRPr="00602155" w:rsidRDefault="00602155" w:rsidP="00602155">
            <w:pPr>
              <w:rPr>
                <w:lang w:val="en-US"/>
              </w:rPr>
            </w:pPr>
            <w:r w:rsidRPr="00602155">
              <w:rPr>
                <w:lang w:val="en-US"/>
              </w:rPr>
              <w:t>Integration into MRV Systems: It calls for incorporating short-lived climate pollutants (SLCPs), especially black carbon, into existing monitoring, reporting, and verification (MRV) systems for GHGs and criteria pollutants.</w:t>
            </w:r>
          </w:p>
          <w:p w14:paraId="017616A8" w14:textId="77777777" w:rsidR="00602155" w:rsidRPr="00602155" w:rsidRDefault="00602155" w:rsidP="00602155">
            <w:pPr>
              <w:rPr>
                <w:lang w:val="en-US"/>
              </w:rPr>
            </w:pPr>
            <w:r w:rsidRPr="00602155">
              <w:rPr>
                <w:lang w:val="en-US"/>
              </w:rPr>
              <w:t>National Inventories: It mandates the publication and periodic update of a national black carbon emissions inventory, integrated into Colombia’s biennial reports to the UNFCCC.</w:t>
            </w:r>
          </w:p>
          <w:p w14:paraId="2A4FD49E" w14:textId="77777777" w:rsidR="00602155" w:rsidRPr="00602155" w:rsidRDefault="00602155" w:rsidP="00602155">
            <w:pPr>
              <w:rPr>
                <w:lang w:val="en-US"/>
              </w:rPr>
            </w:pPr>
            <w:r w:rsidRPr="00602155">
              <w:rPr>
                <w:lang w:val="en-US"/>
              </w:rPr>
              <w:t>Methodologies and Tools: It promotes the development and dissemination of methodologies to estimate emission reductions and co-benefits from mitigation actions.</w:t>
            </w:r>
          </w:p>
          <w:p w14:paraId="539C83F8" w14:textId="77777777" w:rsidR="00602155" w:rsidRPr="00602155" w:rsidRDefault="00602155" w:rsidP="00602155">
            <w:pPr>
              <w:rPr>
                <w:lang w:val="en-US"/>
              </w:rPr>
            </w:pPr>
            <w:r w:rsidRPr="00602155">
              <w:rPr>
                <w:lang w:val="en-US"/>
              </w:rPr>
              <w:t>Capacity Building: It includes training for environmental authorities and guidance for public and private entities to estimate and disclose emissions reductions</w:t>
            </w:r>
          </w:p>
          <w:p w14:paraId="30D54D96" w14:textId="77777777" w:rsidR="00B0479E" w:rsidRPr="00602155"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471073C0" w14:textId="77777777" w:rsidR="00602155" w:rsidRPr="00602155" w:rsidRDefault="00602155" w:rsidP="00602155">
            <w:pPr>
              <w:rPr>
                <w:lang w:val="en-US"/>
              </w:rPr>
            </w:pPr>
            <w:r w:rsidRPr="00602155">
              <w:rPr>
                <w:lang w:val="en-US"/>
              </w:rPr>
              <w:t>Yes, the policy tool includes additional recommendations regarding the appropriate use of offsets and removals, particularly in the context of short-lived climate pollutants (SLCPs):</w:t>
            </w:r>
          </w:p>
          <w:p w14:paraId="5D356B3C" w14:textId="77777777" w:rsidR="00602155" w:rsidRPr="00602155" w:rsidRDefault="00602155" w:rsidP="00602155">
            <w:pPr>
              <w:rPr>
                <w:lang w:val="en-US"/>
              </w:rPr>
            </w:pPr>
            <w:r w:rsidRPr="00602155">
              <w:rPr>
                <w:lang w:val="en-US"/>
              </w:rPr>
              <w:t xml:space="preserve">Use of Estimation Tools: It promotes the use of tools like LEAP-IBC (Long-range Energy Alternatives Planning System – Integrated Benefits Calculator) and </w:t>
            </w:r>
            <w:proofErr w:type="spellStart"/>
            <w:r w:rsidRPr="00602155">
              <w:rPr>
                <w:lang w:val="en-US"/>
              </w:rPr>
              <w:t>BenMAP</w:t>
            </w:r>
            <w:proofErr w:type="spellEnd"/>
            <w:r w:rsidRPr="00602155">
              <w:rPr>
                <w:lang w:val="en-US"/>
              </w:rPr>
              <w:t xml:space="preserve"> (Environmental Benefits Mapping and Analysis Program) to estimate and quantify the benefits of emission reductions. These tools are intended for use by both public and private sector decision-makers to support mitigation planning </w:t>
            </w:r>
          </w:p>
          <w:p w14:paraId="4F4EA11F" w14:textId="29A4B7B1" w:rsidR="00602155" w:rsidRPr="00602155" w:rsidRDefault="00602155" w:rsidP="00602155">
            <w:pPr>
              <w:rPr>
                <w:lang w:val="en-US"/>
              </w:rPr>
            </w:pPr>
            <w:r w:rsidRPr="00602155">
              <w:rPr>
                <w:lang w:val="en-US"/>
              </w:rPr>
              <w:t>Capacity Building: The strategy emphasizes the importance of training and technical strengthening of environmental authorities, especially at the subnational level, to ensure effective integration of SLCP mitigation—including offsets and removals—into local governance </w:t>
            </w:r>
          </w:p>
          <w:p w14:paraId="18DE4692" w14:textId="5666FE54" w:rsidR="00602155" w:rsidRPr="00602155" w:rsidRDefault="00602155" w:rsidP="00602155">
            <w:pPr>
              <w:rPr>
                <w:lang w:val="en-US"/>
              </w:rPr>
            </w:pPr>
            <w:r w:rsidRPr="00602155">
              <w:rPr>
                <w:lang w:val="en-US"/>
              </w:rPr>
              <w:t>Sectoral Policy Alignment: It encourages the alignment of offset and removal actions with existing environmental regulations, such as those governing emissions from fixed and mobile sources (e.g., Resolutions 909/2008, 910/2008, and 1111/2013), and supports technological upgrades in high-emission sectors</w:t>
            </w:r>
          </w:p>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lastRenderedPageBreak/>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lastRenderedPageBreak/>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2060189C" w:rsidR="00B0479E" w:rsidRDefault="00602155" w:rsidP="00DD3144">
            <w:r>
              <w:t>X</w:t>
            </w:r>
          </w:p>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142801B6" w:rsidR="00B0479E" w:rsidRDefault="00602155"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1710DE1A" w:rsidR="00B0479E" w:rsidRDefault="00602155" w:rsidP="00DD3144">
            <w:r>
              <w:t>X</w:t>
            </w:r>
          </w:p>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2131D696" w:rsidR="00B0479E" w:rsidRDefault="00602155" w:rsidP="00DD3144">
            <w:r>
              <w:t>X</w:t>
            </w:r>
          </w:p>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53D0F505" w:rsidR="00B0479E" w:rsidRDefault="00602155" w:rsidP="00DD3144">
            <w:r>
              <w:t>X</w:t>
            </w:r>
          </w:p>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1DCF0211" w14:textId="445FF6EE" w:rsidR="00602155" w:rsidRDefault="00602155" w:rsidP="00DD3144">
            <w:r w:rsidRPr="00602155">
              <w:t>Targets for fossil fuel phase down/phase out</w:t>
            </w:r>
            <w:r>
              <w:t xml:space="preserve">: </w:t>
            </w:r>
            <w:r w:rsidRPr="00602155">
              <w:t>The strategy prioritizes actions such as recovering methane and reducing fugitive emissions during oil and gas production, which supports fossil fuel phase-down efforts</w:t>
            </w:r>
            <w:r>
              <w:t>.</w:t>
            </w:r>
          </w:p>
          <w:p w14:paraId="3DAAC72F" w14:textId="3090EBBE" w:rsidR="00602155" w:rsidRDefault="00602155" w:rsidP="00DD3144">
            <w:r w:rsidRPr="00602155">
              <w:t>Targets or goals related to climate adaptation</w:t>
            </w:r>
            <w:r>
              <w:t xml:space="preserve">: </w:t>
            </w:r>
            <w:r w:rsidRPr="00602155">
              <w:t>The strategy aligns with the Sustainable Development Goals (SDGs), which include climate adaptation, and promotes intersectoral planning and capacity building</w:t>
            </w:r>
          </w:p>
          <w:p w14:paraId="57C1E82B" w14:textId="77777777" w:rsidR="00602155" w:rsidRDefault="00602155" w:rsidP="00DD3144">
            <w:r w:rsidRPr="00602155">
              <w:t>Targets or goals related to nature and/or biodiversity</w:t>
            </w:r>
            <w:r>
              <w:t xml:space="preserve">: </w:t>
            </w:r>
            <w:r w:rsidRPr="00602155">
              <w:t>Objective 2 of the strategy is to “protect and ensure the sustainable use of natural capital and improve environmental quality,” directly supporting biodiversity goals</w:t>
            </w:r>
          </w:p>
          <w:p w14:paraId="7864C988" w14:textId="77777777" w:rsidR="00602155" w:rsidRDefault="00602155" w:rsidP="00DD3144"/>
          <w:p w14:paraId="2E794C3F" w14:textId="42B0A559" w:rsidR="00602155" w:rsidRDefault="00602155" w:rsidP="00DD3144">
            <w:r w:rsidRPr="00602155">
              <w:lastRenderedPageBreak/>
              <w:t>Targets or goals related to just transition</w:t>
            </w:r>
            <w:r>
              <w:t xml:space="preserve">: </w:t>
            </w:r>
            <w:r w:rsidRPr="00602155">
              <w:t>The strategy emphasizes improving competitiveness of productive sectors and generating benefits for vulnerable populations, aligning with just transition principles</w:t>
            </w:r>
            <w:r>
              <w:t>.</w:t>
            </w:r>
          </w:p>
          <w:p w14:paraId="263820B0" w14:textId="1345BF26" w:rsidR="00602155" w:rsidRDefault="00602155" w:rsidP="00DD3144">
            <w:r w:rsidRPr="00602155">
              <w:t>Other</w:t>
            </w:r>
            <w:r>
              <w:t xml:space="preserve">: </w:t>
            </w:r>
            <w:r w:rsidRPr="00602155">
              <w:t>Includes targets for reducing SLCPs like black carbon and methane, improving air quality, and integrating SDGs into territorial planning</w:t>
            </w:r>
            <w:r>
              <w:t>.</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lastRenderedPageBreak/>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lastRenderedPageBreak/>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0F3E245F" w:rsidR="00484663" w:rsidRDefault="00602155" w:rsidP="00DD3144">
            <w:r>
              <w:t>No</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138C6C32" w:rsidR="00484663" w:rsidRDefault="00602155" w:rsidP="00DD3144">
            <w:r>
              <w:t>No</w:t>
            </w:r>
          </w:p>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4F6945B0" w:rsidR="00484663" w:rsidRDefault="00602155" w:rsidP="00DD3144">
            <w:r>
              <w:t>No</w:t>
            </w:r>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56B7EEA1" w:rsidR="00484663" w:rsidRDefault="00602155" w:rsidP="00DD3144">
            <w:r>
              <w:t>No</w:t>
            </w:r>
          </w:p>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5F55EF01" w:rsidR="00484663" w:rsidRDefault="00602155" w:rsidP="00DD3144">
            <w:r>
              <w:t>No</w:t>
            </w:r>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5F0DE062" w:rsidR="00484663" w:rsidRDefault="00602155" w:rsidP="00DD3144">
            <w:r>
              <w:t>No</w:t>
            </w:r>
          </w:p>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432E07FD" w:rsidR="00484663" w:rsidRDefault="00602155" w:rsidP="00DD3144">
            <w:r>
              <w:t>No</w:t>
            </w:r>
          </w:p>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651C797A" w:rsidR="00484663" w:rsidRDefault="00602155" w:rsidP="00DD3144">
            <w:r>
              <w:t>No</w:t>
            </w:r>
          </w:p>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4454EF1C" w:rsidR="00484663" w:rsidRDefault="00602155" w:rsidP="00DD3144">
            <w:r>
              <w:t>No</w:t>
            </w:r>
          </w:p>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lastRenderedPageBreak/>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1968ECF4" w14:textId="56086CDD" w:rsidR="00780388" w:rsidRPr="00780388" w:rsidRDefault="00780388" w:rsidP="00780388">
            <w:pPr>
              <w:rPr>
                <w:lang w:val="en-US"/>
              </w:rPr>
            </w:pPr>
            <w:r w:rsidRPr="00780388">
              <w:rPr>
                <w:lang w:val="en-US"/>
              </w:rPr>
              <w:t>The policy tool recommends the disclosure of other climate-related information by promoting the integration of short-lived climate pollutants (SLCPs) into national and subnational initiatives, programs, and policies. It encourages the development of mechanisms to evaluate the effects of mitigation actions on both climate change and air quality, and to make visible the multiple co-benefits of these actions—such as improved public health, reduced crop losses, and enhanced environmental quality </w:t>
            </w:r>
          </w:p>
          <w:p w14:paraId="6956FC5E" w14:textId="7CF40B0D" w:rsidR="00780388" w:rsidRPr="00780388" w:rsidRDefault="00780388" w:rsidP="00780388">
            <w:pPr>
              <w:rPr>
                <w:lang w:val="en-US"/>
              </w:rPr>
            </w:pPr>
            <w:r w:rsidRPr="00780388">
              <w:rPr>
                <w:lang w:val="en-US"/>
              </w:rPr>
              <w:t xml:space="preserve">Additionally, the strategy supports the use of scenario-based assessments to disclose potential avoided impacts, such as premature deaths, glacier melt, and food insecurity, if SLCPs are effectively reduced. It references international studies (e.g., UNEP &amp; WMO 2011) that model the benefits of applying cost-effective measures across sectors like transport, agriculture, and waste. These disclosures are framed as voluntary and are intended to inform decision-making and strengthen public </w:t>
            </w:r>
            <w:r w:rsidR="00CA6F85" w:rsidRPr="00780388">
              <w:rPr>
                <w:lang w:val="en-US"/>
              </w:rPr>
              <w:t>awareness</w:t>
            </w:r>
          </w:p>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EF89B23" w:rsidR="00DA416F" w:rsidRPr="00DD3144" w:rsidRDefault="00780388"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2647891" w:rsidR="00DA416F" w:rsidRPr="00DD3144" w:rsidRDefault="00780388"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0372070E" w:rsidR="00DA416F" w:rsidRPr="00DD3144" w:rsidRDefault="00780388"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885564A" w:rsidR="00DA416F" w:rsidRPr="00DD3144" w:rsidRDefault="00780388"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3E4C232F" w:rsidR="00DA416F" w:rsidRPr="00DD3144" w:rsidRDefault="00780388"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4EDB5086" w:rsidR="00DA416F" w:rsidRPr="00DD3144" w:rsidRDefault="00780388"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4EAD136C" w:rsidR="00DA416F" w:rsidRPr="00DD3144" w:rsidRDefault="00780388"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60CF01E8" w:rsidR="00DA416F" w:rsidRPr="00DD3144" w:rsidRDefault="00780388"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3A62543B" w:rsidR="00DA416F" w:rsidRPr="00DD3144" w:rsidRDefault="00780388"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69463888" w:rsidR="00DA416F" w:rsidRPr="00DD3144" w:rsidRDefault="00780388"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45F39A83" w:rsidR="00DA416F" w:rsidRPr="00DD3144" w:rsidRDefault="00780388"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2D7B7D04" w:rsidR="00DA416F" w:rsidRPr="00DD3144" w:rsidRDefault="00780388"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577CBBB" w:rsidR="00DA416F" w:rsidRPr="00DD3144" w:rsidRDefault="00780388"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6376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6376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6376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6376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093425" w:rsidR="002F0752" w:rsidRPr="00CF2E7C" w:rsidRDefault="00780388" w:rsidP="00CF2E7C">
            <w:pPr>
              <w:rPr>
                <w:rFonts w:ascii="Calibri" w:hAnsi="Calibri" w:cs="Calibri"/>
              </w:rPr>
            </w:pPr>
            <w:r>
              <w:rPr>
                <w:rFonts w:ascii="Calibri" w:hAnsi="Calibri" w:cs="Calibri"/>
              </w:rPr>
              <w:t>X</w:t>
            </w: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2B3D60F6" w:rsidR="002F0752" w:rsidRPr="00CF2E7C" w:rsidRDefault="00780388" w:rsidP="00CF2E7C">
            <w:pPr>
              <w:rPr>
                <w:rFonts w:ascii="Calibri" w:hAnsi="Calibri" w:cs="Calibri"/>
              </w:rPr>
            </w:pPr>
            <w:r>
              <w:rPr>
                <w:rFonts w:ascii="Calibri" w:hAnsi="Calibri" w:cs="Calibri"/>
              </w:rPr>
              <w:t>X</w:t>
            </w: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6FE59771" w:rsidR="002F0752" w:rsidRPr="00CF2E7C" w:rsidRDefault="00780388"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67F3466F" w:rsidR="002F0752" w:rsidRPr="00CF2E7C" w:rsidRDefault="00780388" w:rsidP="00CF2E7C">
            <w:pPr>
              <w:rPr>
                <w:rFonts w:ascii="Calibri" w:hAnsi="Calibri" w:cs="Calibri"/>
              </w:rPr>
            </w:pPr>
            <w:r>
              <w:rPr>
                <w:rFonts w:ascii="Calibri" w:hAnsi="Calibri" w:cs="Calibri"/>
              </w:rPr>
              <w:t>X</w:t>
            </w: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27E2DBD4" w:rsidR="002F0752" w:rsidRPr="00CF2E7C" w:rsidRDefault="00780388" w:rsidP="00CF2E7C">
            <w:pPr>
              <w:rPr>
                <w:rFonts w:ascii="Calibri" w:hAnsi="Calibri" w:cs="Calibri"/>
              </w:rPr>
            </w:pPr>
            <w:r>
              <w:rPr>
                <w:rFonts w:ascii="Calibri" w:hAnsi="Calibri" w:cs="Calibri"/>
              </w:rPr>
              <w:t>X</w:t>
            </w: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4BC39ACF" w:rsidR="002F0752" w:rsidRPr="00CF2E7C" w:rsidRDefault="002F0752" w:rsidP="00CF2E7C">
            <w:pPr>
              <w:rPr>
                <w:rFonts w:ascii="Calibri" w:hAnsi="Calibri" w:cs="Calibri"/>
              </w:rPr>
            </w:pPr>
          </w:p>
        </w:tc>
        <w:tc>
          <w:tcPr>
            <w:tcW w:w="1483" w:type="dxa"/>
            <w:vAlign w:val="center"/>
          </w:tcPr>
          <w:p w14:paraId="4C911DE4" w14:textId="3D4E1C8D" w:rsidR="002F0752" w:rsidRPr="00CF2E7C" w:rsidRDefault="00780388"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353EF387" w:rsidR="002F0752" w:rsidRPr="00CF2E7C" w:rsidRDefault="00780388" w:rsidP="00CF2E7C">
            <w:pPr>
              <w:rPr>
                <w:rFonts w:ascii="Calibri" w:hAnsi="Calibri" w:cs="Calibri"/>
              </w:rPr>
            </w:pPr>
            <w:r>
              <w:rPr>
                <w:rFonts w:ascii="Calibri" w:hAnsi="Calibri" w:cs="Calibri"/>
              </w:rPr>
              <w:t>X</w:t>
            </w: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3D84D2B9" w:rsidR="002F0752" w:rsidRPr="00CF2E7C" w:rsidRDefault="00780388" w:rsidP="00CF2E7C">
            <w:pPr>
              <w:rPr>
                <w:rFonts w:ascii="Calibri" w:hAnsi="Calibri" w:cs="Calibri"/>
              </w:rPr>
            </w:pPr>
            <w:r>
              <w:rPr>
                <w:rFonts w:ascii="Calibri" w:hAnsi="Calibri" w:cs="Calibri"/>
              </w:rPr>
              <w:t>X</w:t>
            </w:r>
          </w:p>
        </w:tc>
        <w:tc>
          <w:tcPr>
            <w:tcW w:w="1482" w:type="dxa"/>
            <w:vAlign w:val="center"/>
          </w:tcPr>
          <w:p w14:paraId="40CB95DB" w14:textId="664E437E"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5598ADE1" w:rsidR="002F0752" w:rsidRPr="00CF2E7C" w:rsidRDefault="00780388" w:rsidP="00CF2E7C">
            <w:pPr>
              <w:rPr>
                <w:rFonts w:ascii="Calibri" w:hAnsi="Calibri" w:cs="Calibri"/>
              </w:rPr>
            </w:pPr>
            <w:r>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2D7367B8" w:rsidR="002F0752" w:rsidRPr="00CF2E7C" w:rsidRDefault="00780388"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2B94CA1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0619A7C1" w:rsidR="002F0752" w:rsidRPr="00CF2E7C" w:rsidRDefault="00780388"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214550F6" w:rsidR="002F0752" w:rsidRPr="00CF2E7C" w:rsidRDefault="00780388" w:rsidP="00CF2E7C">
            <w:pPr>
              <w:rPr>
                <w:rFonts w:ascii="Calibri" w:hAnsi="Calibri" w:cs="Calibri"/>
              </w:rPr>
            </w:pPr>
            <w:r>
              <w:rPr>
                <w:rFonts w:ascii="Calibri" w:hAnsi="Calibri" w:cs="Calibri"/>
              </w:rPr>
              <w:t>x</w:t>
            </w: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B3FA988" w:rsidR="002F0752" w:rsidRPr="00CF2E7C" w:rsidRDefault="00780388" w:rsidP="00CF2E7C">
            <w:pPr>
              <w:rPr>
                <w:rFonts w:ascii="Calibri" w:hAnsi="Calibri" w:cs="Calibri"/>
              </w:rPr>
            </w:pPr>
            <w:r>
              <w:rPr>
                <w:rFonts w:ascii="Calibri" w:hAnsi="Calibri" w:cs="Calibri"/>
              </w:rPr>
              <w:t>x</w:t>
            </w: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6F85A993" w:rsidR="002F0752" w:rsidRPr="00780388" w:rsidRDefault="00780388" w:rsidP="00CF2E7C">
            <w:pPr>
              <w:rPr>
                <w:rFonts w:ascii="Calibri" w:hAnsi="Calibri" w:cs="Calibri"/>
              </w:rPr>
            </w:pPr>
            <w:r w:rsidRPr="00780388">
              <w:rPr>
                <w:rFonts w:ascii="Calibri" w:hAnsi="Calibri" w:cs="Calibri"/>
              </w:rPr>
              <w:t>The strategy targets actors in the hydrocarbon sector (e.g. oil and gas producers) for methane recovery and fugitive emissions control, and agricultural producers for reducing open burning of crop residues. These are not always categorized under traditional public/private or sectoral labels but are central to the strategy’s implementation</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3E89F4C0" w:rsidR="002F0752" w:rsidRPr="00CF2E7C" w:rsidRDefault="00780388" w:rsidP="00CF2E7C">
            <w:pPr>
              <w:rPr>
                <w:rFonts w:ascii="Calibri" w:hAnsi="Calibri" w:cs="Calibri"/>
              </w:rPr>
            </w:pPr>
            <w:r>
              <w:rPr>
                <w:rFonts w:ascii="Calibri" w:hAnsi="Calibri" w:cs="Calibri"/>
              </w:rPr>
              <w:t>x</w:t>
            </w: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4D7F4DB4" w:rsidR="002F0752" w:rsidRPr="00CF2E7C" w:rsidRDefault="00780388" w:rsidP="00CF2E7C">
            <w:pPr>
              <w:rPr>
                <w:rFonts w:ascii="Calibri" w:hAnsi="Calibri" w:cs="Calibri"/>
              </w:rPr>
            </w:pPr>
            <w:r>
              <w:rPr>
                <w:rFonts w:ascii="Calibri" w:hAnsi="Calibri" w:cs="Calibri"/>
              </w:rPr>
              <w:t>x</w:t>
            </w: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27D4D812" w:rsidR="002F0752" w:rsidRPr="00CF2E7C" w:rsidRDefault="00780388" w:rsidP="00CF2E7C">
            <w:pPr>
              <w:rPr>
                <w:rFonts w:ascii="Calibri" w:hAnsi="Calibri" w:cs="Calibri"/>
              </w:rPr>
            </w:pPr>
            <w:r>
              <w:rPr>
                <w:rFonts w:ascii="Calibri" w:hAnsi="Calibri" w:cs="Calibri"/>
              </w:rPr>
              <w:t>x</w:t>
            </w: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2B71F0AC" w:rsidR="002F0752" w:rsidRPr="00CF2E7C" w:rsidRDefault="00780388" w:rsidP="00CF2E7C">
            <w:pPr>
              <w:rPr>
                <w:rFonts w:ascii="Calibri" w:hAnsi="Calibri" w:cs="Calibri"/>
              </w:rPr>
            </w:pPr>
            <w:r>
              <w:rPr>
                <w:rFonts w:ascii="Calibri" w:hAnsi="Calibri" w:cs="Calibri"/>
              </w:rPr>
              <w:t>x</w:t>
            </w: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4D2AD0EC" w:rsidR="002F0752" w:rsidRPr="00CF2E7C" w:rsidRDefault="00780388" w:rsidP="00CF2E7C">
            <w:pPr>
              <w:rPr>
                <w:rFonts w:ascii="Calibri" w:hAnsi="Calibri" w:cs="Calibri"/>
              </w:rPr>
            </w:pPr>
            <w:r>
              <w:rPr>
                <w:rFonts w:ascii="Calibri" w:hAnsi="Calibri" w:cs="Calibri"/>
              </w:rPr>
              <w:t>x</w:t>
            </w: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673EA815" w:rsidR="002F0752" w:rsidRPr="00CF2E7C" w:rsidRDefault="00BE408D" w:rsidP="00CF2E7C">
            <w:pPr>
              <w:rPr>
                <w:rFonts w:ascii="Calibri" w:hAnsi="Calibri" w:cs="Calibri"/>
              </w:rPr>
            </w:pPr>
            <w:r>
              <w:rPr>
                <w:rFonts w:ascii="Calibri" w:hAnsi="Calibri" w:cs="Calibri"/>
              </w:rPr>
              <w:t>X</w:t>
            </w:r>
          </w:p>
        </w:tc>
        <w:tc>
          <w:tcPr>
            <w:tcW w:w="1482" w:type="dxa"/>
            <w:vAlign w:val="center"/>
          </w:tcPr>
          <w:p w14:paraId="1F8B96D9" w14:textId="6D959A7F"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22D3273C" w:rsidR="002F0752" w:rsidRPr="00CF2E7C" w:rsidRDefault="00BE408D" w:rsidP="00CF2E7C">
            <w:pPr>
              <w:rPr>
                <w:rFonts w:ascii="Calibri" w:hAnsi="Calibri" w:cs="Calibri"/>
              </w:rPr>
            </w:pPr>
            <w:r>
              <w:rPr>
                <w:rFonts w:ascii="Calibri" w:hAnsi="Calibri" w:cs="Calibri"/>
              </w:rPr>
              <w:t>X</w:t>
            </w:r>
          </w:p>
        </w:tc>
        <w:tc>
          <w:tcPr>
            <w:tcW w:w="1482" w:type="dxa"/>
            <w:vAlign w:val="center"/>
          </w:tcPr>
          <w:p w14:paraId="091AFCE4" w14:textId="795FDC5B"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56D2DC50" w:rsidR="002F0752" w:rsidRPr="00CF2E7C" w:rsidRDefault="00BE408D" w:rsidP="00CF2E7C">
            <w:pPr>
              <w:rPr>
                <w:rFonts w:ascii="Calibri" w:hAnsi="Calibri" w:cs="Calibri"/>
              </w:rPr>
            </w:pPr>
            <w:r>
              <w:rPr>
                <w:rFonts w:ascii="Calibri" w:hAnsi="Calibri" w:cs="Calibri"/>
              </w:rPr>
              <w:t>X</w:t>
            </w:r>
          </w:p>
        </w:tc>
        <w:tc>
          <w:tcPr>
            <w:tcW w:w="1482" w:type="dxa"/>
            <w:vAlign w:val="center"/>
          </w:tcPr>
          <w:p w14:paraId="4BD1DD89" w14:textId="57F1FC10"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25ACFB7" w:rsidR="002F0752" w:rsidRPr="00CF2E7C" w:rsidRDefault="00BE408D" w:rsidP="00CF2E7C">
            <w:pPr>
              <w:rPr>
                <w:rFonts w:ascii="Calibri" w:hAnsi="Calibri" w:cs="Calibri"/>
              </w:rPr>
            </w:pPr>
            <w:r>
              <w:rPr>
                <w:rFonts w:ascii="Calibri" w:hAnsi="Calibri" w:cs="Calibri"/>
              </w:rPr>
              <w:t>x</w:t>
            </w: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5B2C68A2" w:rsidR="002F0752" w:rsidRPr="00CF2E7C" w:rsidRDefault="00BE408D" w:rsidP="00CF2E7C">
            <w:pPr>
              <w:rPr>
                <w:rFonts w:ascii="Calibri" w:hAnsi="Calibri" w:cs="Calibri"/>
              </w:rPr>
            </w:pPr>
            <w:r>
              <w:rPr>
                <w:rFonts w:ascii="Calibri" w:hAnsi="Calibri" w:cs="Calibri"/>
              </w:rPr>
              <w:t>X</w:t>
            </w:r>
          </w:p>
        </w:tc>
        <w:tc>
          <w:tcPr>
            <w:tcW w:w="1482" w:type="dxa"/>
            <w:vAlign w:val="center"/>
          </w:tcPr>
          <w:p w14:paraId="5B168129" w14:textId="20DF8A7B"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51B70024" w:rsidR="002F0752" w:rsidRPr="00CF2E7C" w:rsidRDefault="002F0752" w:rsidP="00CF2E7C">
            <w:pPr>
              <w:rPr>
                <w:rFonts w:ascii="Calibri" w:hAnsi="Calibri" w:cs="Calibri"/>
              </w:rPr>
            </w:pPr>
          </w:p>
        </w:tc>
        <w:tc>
          <w:tcPr>
            <w:tcW w:w="1483" w:type="dxa"/>
            <w:vAlign w:val="center"/>
          </w:tcPr>
          <w:p w14:paraId="20E8230A" w14:textId="1D5A9988" w:rsidR="002F0752" w:rsidRPr="00CF2E7C" w:rsidRDefault="00BE408D"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48D577E" w:rsidR="002F0752" w:rsidRPr="00CF2E7C" w:rsidRDefault="002F0752" w:rsidP="00CF2E7C">
            <w:pPr>
              <w:rPr>
                <w:rFonts w:ascii="Calibri" w:hAnsi="Calibri" w:cs="Calibri"/>
              </w:rPr>
            </w:pPr>
          </w:p>
        </w:tc>
        <w:tc>
          <w:tcPr>
            <w:tcW w:w="1483" w:type="dxa"/>
            <w:vAlign w:val="center"/>
          </w:tcPr>
          <w:p w14:paraId="115017E4" w14:textId="37C0AB15" w:rsidR="002F0752" w:rsidRPr="00CF2E7C" w:rsidRDefault="00BE408D"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6D62649F" w:rsidR="002F0752" w:rsidRPr="00CF2E7C" w:rsidRDefault="002F0752" w:rsidP="00CF2E7C">
            <w:pPr>
              <w:rPr>
                <w:rFonts w:ascii="Calibri" w:hAnsi="Calibri" w:cs="Calibri"/>
              </w:rPr>
            </w:pPr>
          </w:p>
        </w:tc>
        <w:tc>
          <w:tcPr>
            <w:tcW w:w="1483" w:type="dxa"/>
            <w:vAlign w:val="center"/>
          </w:tcPr>
          <w:p w14:paraId="2557F8D6" w14:textId="757012B4" w:rsidR="002F0752" w:rsidRPr="00CF2E7C" w:rsidRDefault="00BE408D"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2BB1EAC" w:rsidR="002F0752" w:rsidRPr="00CF2E7C" w:rsidRDefault="002F0752" w:rsidP="00CF2E7C">
            <w:pPr>
              <w:rPr>
                <w:rFonts w:ascii="Calibri" w:hAnsi="Calibri" w:cs="Calibri"/>
              </w:rPr>
            </w:pPr>
          </w:p>
        </w:tc>
        <w:tc>
          <w:tcPr>
            <w:tcW w:w="1483" w:type="dxa"/>
            <w:vAlign w:val="center"/>
          </w:tcPr>
          <w:p w14:paraId="470A8AA2" w14:textId="678A6791" w:rsidR="002F0752" w:rsidRPr="00CF2E7C" w:rsidRDefault="00BE408D"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0F949084" w:rsidR="002F0752" w:rsidRPr="00CF2E7C" w:rsidRDefault="002F0752" w:rsidP="00CF2E7C">
            <w:pPr>
              <w:rPr>
                <w:rFonts w:ascii="Calibri" w:hAnsi="Calibri" w:cs="Calibri"/>
              </w:rPr>
            </w:pPr>
          </w:p>
        </w:tc>
        <w:tc>
          <w:tcPr>
            <w:tcW w:w="1483" w:type="dxa"/>
            <w:vAlign w:val="center"/>
          </w:tcPr>
          <w:p w14:paraId="26AE5AF5" w14:textId="43B42055" w:rsidR="002F0752" w:rsidRPr="00CF2E7C" w:rsidRDefault="00BE408D"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5178DE4F" w:rsidR="002F0752" w:rsidRPr="00CF2E7C" w:rsidRDefault="002F0752" w:rsidP="00CF2E7C">
            <w:pPr>
              <w:rPr>
                <w:rFonts w:ascii="Calibri" w:hAnsi="Calibri" w:cs="Calibri"/>
              </w:rPr>
            </w:pPr>
          </w:p>
        </w:tc>
        <w:tc>
          <w:tcPr>
            <w:tcW w:w="1483" w:type="dxa"/>
            <w:vAlign w:val="center"/>
          </w:tcPr>
          <w:p w14:paraId="0FD0E0AD" w14:textId="704943FA" w:rsidR="002F0752" w:rsidRPr="00CF2E7C" w:rsidRDefault="00BE408D"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24F56C0B" w:rsidR="002F0752" w:rsidRPr="00CF2E7C" w:rsidRDefault="002F0752" w:rsidP="00CF2E7C">
            <w:pPr>
              <w:rPr>
                <w:rFonts w:ascii="Calibri" w:hAnsi="Calibri" w:cs="Calibri"/>
              </w:rPr>
            </w:pPr>
          </w:p>
        </w:tc>
        <w:tc>
          <w:tcPr>
            <w:tcW w:w="1483" w:type="dxa"/>
            <w:vAlign w:val="center"/>
          </w:tcPr>
          <w:p w14:paraId="529888B7" w14:textId="45C1CBA0" w:rsidR="002F0752" w:rsidRPr="00CF2E7C" w:rsidRDefault="00BE408D"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3799551F" w:rsidR="002F0752" w:rsidRPr="00CF2E7C" w:rsidRDefault="00BE408D" w:rsidP="00CF2E7C">
            <w:pPr>
              <w:rPr>
                <w:rFonts w:ascii="Calibri" w:hAnsi="Calibri" w:cs="Calibri"/>
              </w:rPr>
            </w:pPr>
            <w:r>
              <w:rPr>
                <w:rFonts w:ascii="Calibri" w:hAnsi="Calibri" w:cs="Calibri"/>
              </w:rPr>
              <w:t>X</w:t>
            </w: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5F4017D8" w:rsidR="002F0752" w:rsidRPr="00CF2E7C" w:rsidRDefault="002F0752" w:rsidP="00CF2E7C">
            <w:pPr>
              <w:rPr>
                <w:rFonts w:ascii="Calibri" w:hAnsi="Calibri" w:cs="Calibri"/>
              </w:rPr>
            </w:pPr>
          </w:p>
        </w:tc>
        <w:tc>
          <w:tcPr>
            <w:tcW w:w="1483" w:type="dxa"/>
            <w:vAlign w:val="center"/>
          </w:tcPr>
          <w:p w14:paraId="75B2005F" w14:textId="2A1144CC" w:rsidR="002F0752" w:rsidRPr="00CF2E7C" w:rsidRDefault="00BE408D"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21B8D431" w:rsidR="002F0752" w:rsidRPr="00CF2E7C" w:rsidRDefault="00BE408D" w:rsidP="00CF2E7C">
            <w:pPr>
              <w:rPr>
                <w:rFonts w:ascii="Calibri" w:hAnsi="Calibri" w:cs="Calibri"/>
              </w:rPr>
            </w:pPr>
            <w:r>
              <w:rPr>
                <w:rFonts w:ascii="Calibri" w:hAnsi="Calibri" w:cs="Calibri"/>
              </w:rPr>
              <w:t>X</w:t>
            </w: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02EE43" w:rsidR="002F0752" w:rsidRPr="00CF2E7C" w:rsidRDefault="002F0752" w:rsidP="00CF2E7C">
            <w:pPr>
              <w:rPr>
                <w:rFonts w:ascii="Calibri" w:hAnsi="Calibri" w:cs="Calibri"/>
              </w:rPr>
            </w:pPr>
          </w:p>
        </w:tc>
        <w:tc>
          <w:tcPr>
            <w:tcW w:w="1483" w:type="dxa"/>
            <w:vAlign w:val="center"/>
          </w:tcPr>
          <w:p w14:paraId="7C610354" w14:textId="4AB129A7" w:rsidR="002F0752" w:rsidRPr="00CF2E7C" w:rsidRDefault="00BE408D"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467B6CE9" w:rsidR="002F0752" w:rsidRPr="00CF2E7C" w:rsidRDefault="002F0752" w:rsidP="00CF2E7C">
            <w:pPr>
              <w:rPr>
                <w:rFonts w:ascii="Calibri" w:hAnsi="Calibri" w:cs="Calibri"/>
              </w:rPr>
            </w:pPr>
          </w:p>
        </w:tc>
        <w:tc>
          <w:tcPr>
            <w:tcW w:w="1483" w:type="dxa"/>
            <w:vAlign w:val="center"/>
          </w:tcPr>
          <w:p w14:paraId="1E72B1C5" w14:textId="0997BAF2" w:rsidR="002F0752" w:rsidRPr="00CF2E7C" w:rsidRDefault="00BE408D"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080E0821" w:rsidR="002F0752" w:rsidRPr="00CF2E7C" w:rsidRDefault="002F0752" w:rsidP="00CF2E7C">
            <w:pPr>
              <w:rPr>
                <w:rFonts w:ascii="Calibri" w:hAnsi="Calibri" w:cs="Calibri"/>
              </w:rPr>
            </w:pPr>
          </w:p>
        </w:tc>
        <w:tc>
          <w:tcPr>
            <w:tcW w:w="1483" w:type="dxa"/>
            <w:vAlign w:val="center"/>
          </w:tcPr>
          <w:p w14:paraId="55B4EF23" w14:textId="1CEB9023" w:rsidR="002F0752" w:rsidRPr="00CF2E7C" w:rsidRDefault="00BE408D"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005D3CCE" w:rsidR="002F0752" w:rsidRPr="00CF2E7C" w:rsidRDefault="00BE408D"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34B44F48" w:rsidR="002F0752" w:rsidRPr="00CF2E7C" w:rsidRDefault="00BE408D"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6C405AA4" w:rsidR="002F0752" w:rsidRPr="00CF2E7C" w:rsidRDefault="00BE408D"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6AD51CFA" w:rsidR="002F0752" w:rsidRPr="00CF2E7C" w:rsidRDefault="00BE408D" w:rsidP="00CF2E7C">
            <w:pPr>
              <w:rPr>
                <w:rFonts w:ascii="Calibri" w:hAnsi="Calibri" w:cs="Calibri"/>
              </w:rPr>
            </w:pPr>
            <w:r w:rsidRPr="00BE408D">
              <w:rPr>
                <w:rFonts w:ascii="Calibri" w:hAnsi="Calibri" w:cs="Calibri"/>
              </w:rPr>
              <w:t>The strategy mandates actions in sectors such as agriculture (e.g., sustainable livestock practices), mining and hydrocarbons (e.g., methane recovery), manufacturing (e.g., brick kiln upgrades), waste management (e.g., landfill gas flaring), and transport (e.g., diesel standards). It also encourages voluntary engagement from sectors like energy supply and scientific institutions</w:t>
            </w:r>
            <w:r>
              <w:rPr>
                <w:rFonts w:ascii="Calibri" w:hAnsi="Calibri" w:cs="Calibri"/>
              </w:rPr>
              <w:t>.</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FD5A3F9" w:rsidR="002F0752" w:rsidRPr="00CF2E7C" w:rsidRDefault="004D0B86" w:rsidP="00CF2E7C">
            <w:pPr>
              <w:rPr>
                <w:rFonts w:ascii="Calibri" w:hAnsi="Calibri" w:cs="Calibri"/>
              </w:rPr>
            </w:pPr>
            <w:r w:rsidRPr="004D0B86">
              <w:rPr>
                <w:rFonts w:ascii="Calibri" w:hAnsi="Calibri" w:cs="Calibri"/>
              </w:rPr>
              <w:t>Not specified</w:t>
            </w: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490DF0B7" w:rsidR="002F0752" w:rsidRPr="00CF2E7C" w:rsidRDefault="004D0B86" w:rsidP="00CF2E7C">
            <w:pPr>
              <w:rPr>
                <w:rFonts w:ascii="Calibri" w:hAnsi="Calibri" w:cs="Calibri"/>
              </w:rPr>
            </w:pPr>
            <w:r w:rsidRPr="004D0B86">
              <w:rPr>
                <w:rFonts w:ascii="Calibri" w:hAnsi="Calibri" w:cs="Calibri"/>
              </w:rPr>
              <w:t>Not specified</w:t>
            </w:r>
          </w:p>
        </w:tc>
      </w:tr>
      <w:tr w:rsidR="002F0752" w:rsidRPr="00C6376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3AAE9980" w:rsidR="002F0752" w:rsidRPr="00CF2E7C" w:rsidRDefault="004D0B86" w:rsidP="00CF2E7C">
            <w:pPr>
              <w:rPr>
                <w:rFonts w:ascii="Calibri" w:hAnsi="Calibri" w:cs="Calibri"/>
                <w:lang w:val="sv-SE"/>
              </w:rPr>
            </w:pPr>
            <w:r w:rsidRPr="004D0B86">
              <w:rPr>
                <w:rFonts w:ascii="Calibri" w:hAnsi="Calibri" w:cs="Calibri"/>
              </w:rPr>
              <w:t>Not specified</w:t>
            </w: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193EEE8D" w:rsidR="002F0752" w:rsidRPr="00CF2E7C" w:rsidRDefault="004D0B86" w:rsidP="00CF2E7C">
            <w:pPr>
              <w:rPr>
                <w:rFonts w:ascii="Calibri" w:hAnsi="Calibri" w:cs="Calibri"/>
              </w:rPr>
            </w:pPr>
            <w:r w:rsidRPr="004D0B86">
              <w:rPr>
                <w:rFonts w:ascii="Calibri" w:hAnsi="Calibri" w:cs="Calibri"/>
              </w:rPr>
              <w:t>Not specified</w:t>
            </w: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2F6F4C1A" w:rsidR="002F0752" w:rsidRPr="00CF2E7C" w:rsidRDefault="004D0B86" w:rsidP="00CF2E7C">
            <w:pPr>
              <w:rPr>
                <w:rFonts w:ascii="Calibri" w:hAnsi="Calibri" w:cs="Calibri"/>
              </w:rPr>
            </w:pPr>
            <w:r w:rsidRPr="004D0B86">
              <w:rPr>
                <w:rFonts w:ascii="Calibri" w:hAnsi="Calibri" w:cs="Calibri"/>
              </w:rPr>
              <w:t>Entities operating in Colombia are implicitly targeted, especially those in agriculture, hydrocarbons, and waste management sectors</w:t>
            </w: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17D4191" w:rsidR="002F0752" w:rsidRPr="00CF2E7C" w:rsidRDefault="004D0B86" w:rsidP="00CF2E7C">
            <w:pPr>
              <w:rPr>
                <w:rFonts w:ascii="Calibri" w:hAnsi="Calibri" w:cs="Calibri"/>
              </w:rPr>
            </w:pPr>
            <w:r w:rsidRPr="004D0B86">
              <w:rPr>
                <w:rFonts w:ascii="Calibri" w:hAnsi="Calibri" w:cs="Calibri"/>
              </w:rPr>
              <w:t>Mandatory compliance is linked to sectoral responsibility and regulatory frameworks, such as Resolution 2254 of 2017 for air quality and methane reduction targets under Colombia’s NDC</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1795E332" w:rsidR="002F0752" w:rsidRPr="00CF2E7C" w:rsidRDefault="004D0B86"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66898F6C" w:rsidR="002F0752" w:rsidRPr="00CF2E7C" w:rsidRDefault="004D0B86"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lastRenderedPageBreak/>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63112851" w:rsidR="002F0752" w:rsidRPr="00CF2E7C" w:rsidRDefault="004D0B86"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0CF90DC5" w:rsidR="002F0752" w:rsidRPr="00CF2E7C" w:rsidRDefault="004D0B86" w:rsidP="00CF2E7C">
            <w:pPr>
              <w:rPr>
                <w:rFonts w:ascii="Calibri" w:hAnsi="Calibri" w:cs="Calibri"/>
              </w:rPr>
            </w:pPr>
            <w:r w:rsidRPr="004D0B86">
              <w:rPr>
                <w:rFonts w:ascii="Calibri" w:hAnsi="Calibri" w:cs="Calibri"/>
              </w:rPr>
              <w:t xml:space="preserve">here is clear evidence that the policy tool is being implemented, even in its voluntary components. The strategy outlines follow-up actions such as the development of a national black carbon inventory, integration of SLCPs into Colombia’s Biennial Update Reports to the UNFCCC, and the launch of pilot projects (e.g., stove replacement, brick kiln modernization). It also promotes the use of tools like LEAP-IBC and </w:t>
            </w:r>
            <w:proofErr w:type="spellStart"/>
            <w:proofErr w:type="gramStart"/>
            <w:r w:rsidRPr="004D0B86">
              <w:rPr>
                <w:rFonts w:ascii="Calibri" w:hAnsi="Calibri" w:cs="Calibri"/>
              </w:rPr>
              <w:t>BenMAP</w:t>
            </w:r>
            <w:proofErr w:type="spellEnd"/>
            <w:r w:rsidRPr="004D0B86">
              <w:rPr>
                <w:rFonts w:ascii="Calibri" w:hAnsi="Calibri" w:cs="Calibri"/>
              </w:rPr>
              <w:t>, and</w:t>
            </w:r>
            <w:proofErr w:type="gramEnd"/>
            <w:r w:rsidRPr="004D0B86">
              <w:rPr>
                <w:rFonts w:ascii="Calibri" w:hAnsi="Calibri" w:cs="Calibri"/>
              </w:rPr>
              <w:t xml:space="preserve"> includes capacity-building initiatives for environmental authorities—all of which demonstrate active implementation.</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1D69434F" w:rsidR="002F0752" w:rsidRPr="00CF2E7C" w:rsidRDefault="004D0B86" w:rsidP="00CF2E7C">
            <w:pPr>
              <w:rPr>
                <w:rFonts w:ascii="Calibri" w:hAnsi="Calibri" w:cs="Calibri"/>
              </w:rPr>
            </w:pPr>
            <w:r>
              <w:rPr>
                <w:rFonts w:ascii="Calibri" w:hAnsi="Calibri" w:cs="Calibri"/>
              </w:rPr>
              <w:t>x</w:t>
            </w: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4A8FB670" w:rsidR="002F0752" w:rsidRPr="004D0B86" w:rsidRDefault="004D0B86" w:rsidP="00CF2E7C">
            <w:pPr>
              <w:rPr>
                <w:rFonts w:ascii="Calibri" w:hAnsi="Calibri" w:cs="Calibri"/>
              </w:rPr>
            </w:pPr>
            <w:r w:rsidRPr="004D0B86">
              <w:rPr>
                <w:rFonts w:ascii="Calibri" w:hAnsi="Calibri" w:cs="Calibri"/>
              </w:rPr>
              <w:t>There is evidence that the policy tool has been enforced through Colombia’s environmental regulatory framework. For example, Resolution 909 of 2008, which regulates emissions from fixed sources, has led to the technological reconversion of high-emission sectors like brick manufacturing. Similarly, Resolutions 910 of 2008 and 1111 of 2013, which regulate emissions from mobile sources, have been actively enforced by local environmental authorities.</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lastRenderedPageBreak/>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lastRenderedPageBreak/>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3B9A6DA0" w:rsidR="002F0752" w:rsidRPr="00CF2E7C" w:rsidRDefault="00FE4694"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485A679E" w:rsidR="002F0752" w:rsidRPr="00CF2E7C" w:rsidRDefault="00FE4694" w:rsidP="00CF2E7C">
            <w:pPr>
              <w:rPr>
                <w:rFonts w:ascii="Calibri" w:hAnsi="Calibri" w:cs="Calibri"/>
              </w:rPr>
            </w:pPr>
            <w:r>
              <w:rPr>
                <w:rFonts w:ascii="Calibri" w:hAnsi="Calibri" w:cs="Calibri"/>
              </w:rPr>
              <w:t>x</w:t>
            </w: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lastRenderedPageBreak/>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5E437FA2" w:rsidR="002F0752" w:rsidRPr="00CF2E7C" w:rsidRDefault="00FE4694" w:rsidP="00CF2E7C">
            <w:pPr>
              <w:rPr>
                <w:rFonts w:ascii="Calibri" w:hAnsi="Calibri" w:cs="Calibri"/>
              </w:rPr>
            </w:pPr>
            <w:r>
              <w:rPr>
                <w:rFonts w:ascii="Calibri" w:hAnsi="Calibri" w:cs="Calibri"/>
              </w:rPr>
              <w:t>X</w:t>
            </w: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5BEA7D94" w:rsidR="002F0752" w:rsidRPr="00FE4694" w:rsidRDefault="00FE4694" w:rsidP="00CF2E7C">
            <w:pPr>
              <w:rPr>
                <w:rFonts w:ascii="Calibri" w:hAnsi="Calibri" w:cs="Calibri"/>
              </w:rPr>
            </w:pPr>
            <w:r w:rsidRPr="00FE4694">
              <w:rPr>
                <w:rFonts w:ascii="Calibri" w:hAnsi="Calibri" w:cs="Calibri"/>
              </w:rPr>
              <w:t>The strategy defines an absolute reduction target of 170,000 tons of methane (CH₄) by 2030, particularly through actions in the waste and agriculture sectors. This target is not expressed as a percentage reduction from a baseline year, which is why it falls under the “Other” category</w:t>
            </w: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1BBC5C8B" w:rsidR="002F0752" w:rsidRPr="00CF2E7C" w:rsidRDefault="00FE4694"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42D66BD0" w:rsidR="002F0752" w:rsidRPr="00CF2E7C" w:rsidRDefault="00FE4694" w:rsidP="00CF2E7C">
            <w:pPr>
              <w:rPr>
                <w:rFonts w:ascii="Calibri" w:hAnsi="Calibri" w:cs="Calibri"/>
              </w:rPr>
            </w:pPr>
            <w:r>
              <w:rPr>
                <w:rFonts w:ascii="Calibri" w:hAnsi="Calibri" w:cs="Calibri"/>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lastRenderedPageBreak/>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6308E6A1" w:rsidR="002F0752" w:rsidRPr="00CF2E7C" w:rsidRDefault="00FD4792"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34D3EDF9" w:rsidR="002F0752" w:rsidRPr="33822AF7" w:rsidRDefault="003D3BFC"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2412E243" w:rsidR="002F0752" w:rsidRPr="33822AF7" w:rsidRDefault="003D3BFC"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2F58F429" w:rsidR="002F0752" w:rsidRPr="33822AF7" w:rsidRDefault="003D3BFC"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lastRenderedPageBreak/>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0C9E6571" w:rsidR="002F0752" w:rsidRPr="00CF2E7C" w:rsidRDefault="003D3BF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773C0ABF" w14:textId="77777777" w:rsidR="003D3BFC" w:rsidRPr="003D3BFC" w:rsidRDefault="003D3BFC" w:rsidP="003D3BFC">
            <w:pPr>
              <w:rPr>
                <w:rFonts w:ascii="Calibri" w:eastAsia="Calibri" w:hAnsi="Calibri" w:cs="Calibri"/>
                <w:color w:val="000000" w:themeColor="text1"/>
                <w:lang w:val="en-US"/>
              </w:rPr>
            </w:pPr>
            <w:r w:rsidRPr="003D3BFC">
              <w:rPr>
                <w:rFonts w:ascii="Calibri" w:eastAsia="Calibri" w:hAnsi="Calibri" w:cs="Calibri"/>
                <w:color w:val="000000" w:themeColor="text1"/>
                <w:lang w:val="en-US"/>
              </w:rPr>
              <w:t>The policy tool recommends the use of methodologies and tools for estimating methane emissions, including fugitive emissions from the oil and gas sector. Specifically, it promotes:</w:t>
            </w:r>
          </w:p>
          <w:p w14:paraId="55752BEF" w14:textId="77777777" w:rsidR="003D3BFC" w:rsidRPr="003D3BFC" w:rsidRDefault="003D3BFC" w:rsidP="003D3BFC">
            <w:pPr>
              <w:rPr>
                <w:rFonts w:ascii="Calibri" w:eastAsia="Calibri" w:hAnsi="Calibri" w:cs="Calibri"/>
                <w:color w:val="000000" w:themeColor="text1"/>
                <w:lang w:val="en-US"/>
              </w:rPr>
            </w:pPr>
            <w:r w:rsidRPr="003D3BFC">
              <w:rPr>
                <w:rFonts w:ascii="Calibri" w:eastAsia="Calibri" w:hAnsi="Calibri" w:cs="Calibri"/>
                <w:color w:val="000000" w:themeColor="text1"/>
                <w:lang w:val="en-US"/>
              </w:rPr>
              <w:t>The adoption of methodologies and tools to estimate cost-benefit and multiple benefits associated with the reduction of short-lived climate pollutants (SLCPs), including methane.</w:t>
            </w:r>
          </w:p>
          <w:p w14:paraId="0B23550E" w14:textId="77777777" w:rsidR="003D3BFC" w:rsidRPr="003D3BFC" w:rsidRDefault="003D3BFC" w:rsidP="003D3BFC">
            <w:pPr>
              <w:rPr>
                <w:rFonts w:ascii="Calibri" w:eastAsia="Calibri" w:hAnsi="Calibri" w:cs="Calibri"/>
                <w:color w:val="000000" w:themeColor="text1"/>
                <w:lang w:val="en-US"/>
              </w:rPr>
            </w:pPr>
            <w:r w:rsidRPr="003D3BFC">
              <w:rPr>
                <w:rFonts w:ascii="Calibri" w:eastAsia="Calibri" w:hAnsi="Calibri" w:cs="Calibri"/>
                <w:color w:val="000000" w:themeColor="text1"/>
                <w:lang w:val="en-US"/>
              </w:rPr>
              <w:t xml:space="preserve">The development and publication of a guide for estimating emission reductions and co-benefits, intended for use by environmental authorities, ministries, and the </w:t>
            </w:r>
            <w:proofErr w:type="gramStart"/>
            <w:r w:rsidRPr="003D3BFC">
              <w:rPr>
                <w:rFonts w:ascii="Calibri" w:eastAsia="Calibri" w:hAnsi="Calibri" w:cs="Calibri"/>
                <w:color w:val="000000" w:themeColor="text1"/>
                <w:lang w:val="en-US"/>
              </w:rPr>
              <w:t>general public</w:t>
            </w:r>
            <w:proofErr w:type="gramEnd"/>
            <w:r w:rsidRPr="003D3BFC">
              <w:rPr>
                <w:rFonts w:ascii="Calibri" w:eastAsia="Calibri" w:hAnsi="Calibri" w:cs="Calibri"/>
                <w:color w:val="000000" w:themeColor="text1"/>
                <w:lang w:val="en-US"/>
              </w:rPr>
              <w:t>.</w:t>
            </w:r>
          </w:p>
          <w:p w14:paraId="6582BCC5" w14:textId="77777777" w:rsidR="003D3BFC" w:rsidRPr="003D3BFC" w:rsidRDefault="003D3BFC" w:rsidP="003D3BFC">
            <w:pPr>
              <w:rPr>
                <w:rFonts w:ascii="Calibri" w:eastAsia="Calibri" w:hAnsi="Calibri" w:cs="Calibri"/>
                <w:color w:val="000000" w:themeColor="text1"/>
                <w:lang w:val="en-US"/>
              </w:rPr>
            </w:pPr>
            <w:r w:rsidRPr="003D3BFC">
              <w:rPr>
                <w:rFonts w:ascii="Calibri" w:eastAsia="Calibri" w:hAnsi="Calibri" w:cs="Calibri"/>
                <w:color w:val="000000" w:themeColor="text1"/>
                <w:lang w:val="en-US"/>
              </w:rPr>
              <w:t>Exercises and case studies to apply these methodologies, including workshops and webinars to build institutional capacity.</w:t>
            </w:r>
          </w:p>
          <w:p w14:paraId="6390C4BB" w14:textId="77777777" w:rsidR="003D3BFC" w:rsidRPr="003D3BFC" w:rsidRDefault="003D3BFC" w:rsidP="003D3BFC">
            <w:pPr>
              <w:rPr>
                <w:rFonts w:ascii="Calibri" w:eastAsia="Calibri" w:hAnsi="Calibri" w:cs="Calibri"/>
                <w:color w:val="000000" w:themeColor="text1"/>
                <w:lang w:val="en-US"/>
              </w:rPr>
            </w:pPr>
            <w:r w:rsidRPr="003D3BFC">
              <w:rPr>
                <w:rFonts w:ascii="Calibri" w:eastAsia="Calibri" w:hAnsi="Calibri" w:cs="Calibri"/>
                <w:color w:val="000000" w:themeColor="text1"/>
                <w:lang w:val="en-US"/>
              </w:rPr>
              <w:t>The identification of mitigation potentials in sectors such as fugitive emissions from hydrocarbon exploitation, which includes oil and gas</w:t>
            </w:r>
          </w:p>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19CA931" w:rsidR="002F0752" w:rsidRPr="00CF2E7C" w:rsidRDefault="003D3BF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5A20CFE6" w:rsidR="002F0752" w:rsidRPr="00CF2E7C" w:rsidRDefault="003D3BF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A2A9F3D" w:rsidR="002F0752" w:rsidRPr="00CF2E7C" w:rsidRDefault="003D3BF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26F10C42" w:rsidR="002F0752" w:rsidRPr="00CF2E7C" w:rsidRDefault="003D3BF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46019328"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299B9FD5" w:rsidR="002F0752" w:rsidRPr="00CF2E7C" w:rsidRDefault="003D3BF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5887D570" w:rsidR="002F0752" w:rsidRPr="00CF2E7C" w:rsidRDefault="003D3BF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6AD93A96"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6E140D1D" w:rsidR="002F0752" w:rsidRPr="00CF2E7C" w:rsidRDefault="003D3BF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01C59EF0" w:rsidR="002F0752" w:rsidRPr="00CF2E7C" w:rsidRDefault="003D3BF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0BF6BDBA" w:rsidR="002F0752" w:rsidRPr="00CF2E7C" w:rsidRDefault="003D3BF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16D2824" w:rsidR="002F0752" w:rsidRPr="00CF2E7C" w:rsidRDefault="003D3BF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5672610" w:rsidR="002F0752" w:rsidRPr="00CF2E7C" w:rsidRDefault="003D3BF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4B58FBE5" w:rsidR="002F0752" w:rsidRPr="003D3BFC" w:rsidRDefault="003D3BFC" w:rsidP="00CF2E7C">
            <w:pPr>
              <w:rPr>
                <w:rFonts w:ascii="Calibri" w:eastAsia="Calibri" w:hAnsi="Calibri" w:cs="Calibri"/>
                <w:color w:val="000000" w:themeColor="text1"/>
              </w:rPr>
            </w:pPr>
            <w:r w:rsidRPr="003D3BFC">
              <w:rPr>
                <w:rFonts w:ascii="Calibri" w:eastAsia="Calibri" w:hAnsi="Calibri" w:cs="Calibri"/>
                <w:color w:val="000000" w:themeColor="text1"/>
              </w:rPr>
              <w:t xml:space="preserve">The policy tool recommends a target for the mitigation of fugitive methane emissions from oil and gas activities. Specifically, it promotes the use of these emissions for energy generation and sets a mitigation potential of 3.24 million tons of </w:t>
            </w:r>
            <w:proofErr w:type="spellStart"/>
            <w:r w:rsidRPr="003D3BFC">
              <w:rPr>
                <w:rFonts w:ascii="Calibri" w:eastAsia="Calibri" w:hAnsi="Calibri" w:cs="Calibri"/>
                <w:color w:val="000000" w:themeColor="text1"/>
              </w:rPr>
              <w:t>CO₂eq</w:t>
            </w:r>
            <w:proofErr w:type="spellEnd"/>
            <w:r w:rsidRPr="003D3BFC">
              <w:rPr>
                <w:rFonts w:ascii="Calibri" w:eastAsia="Calibri" w:hAnsi="Calibri" w:cs="Calibri"/>
                <w:color w:val="000000" w:themeColor="text1"/>
              </w:rPr>
              <w:t xml:space="preserve"> by 2030, equivalent to 129,600 tons of CH₄, covering extraction, processing, production, venting, storage, and distribution of hydrocarbons</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2A92A7AF" w:rsidR="002F0752" w:rsidRPr="00CF2E7C" w:rsidRDefault="003D3BF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57379F9E" w:rsidR="002F0752" w:rsidRPr="00CF2E7C" w:rsidRDefault="003D3BF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0BF34F56" w:rsidR="002F0752" w:rsidRPr="00CF2E7C" w:rsidRDefault="003D3BF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1079A495" w:rsidR="002F0752" w:rsidRPr="00CF2E7C" w:rsidRDefault="003D3BF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6F7EA12A" w:rsidR="002F0752" w:rsidRPr="00CF2E7C" w:rsidRDefault="003D3BF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36D48CC" w:rsidR="002F0752" w:rsidRPr="00CF2E7C" w:rsidRDefault="003D3BF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1B416C1" w:rsidR="002F0752" w:rsidRPr="00CF2E7C" w:rsidRDefault="00932E2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56252E04" w:rsidR="002F0752" w:rsidRPr="00CF2E7C" w:rsidRDefault="00932E2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6B6323D2" w:rsidR="002F0752" w:rsidRPr="00CF2E7C" w:rsidRDefault="00932E2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26DA53B1" w:rsidR="002F0752" w:rsidRPr="00CF2E7C" w:rsidRDefault="00932E2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658EC2A6" w:rsidR="002F0752" w:rsidRPr="00CF2E7C" w:rsidRDefault="00932E2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5CEB2A6D" w:rsidR="002F0752" w:rsidRPr="00CF2E7C" w:rsidRDefault="00932E29"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44C76FA3" w:rsidR="002F0752" w:rsidRPr="00CF2E7C" w:rsidRDefault="00932E29"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6EDA6DEB" w:rsidR="002F0752" w:rsidRPr="00CF2E7C" w:rsidRDefault="00932E29"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4CB7CA47" w:rsidR="002F0752" w:rsidRPr="00CF2E7C" w:rsidRDefault="00932E29"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41D7F403" w:rsidR="002F0752" w:rsidRPr="00CF2E7C" w:rsidRDefault="00932E29"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69340C88" w:rsidR="002F0752" w:rsidRPr="00CF2E7C" w:rsidRDefault="00932E29"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1" w:type="dxa"/>
            <w:vAlign w:val="center"/>
          </w:tcPr>
          <w:p w14:paraId="66385834" w14:textId="171C3F55"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3B854251" w:rsidR="002F0752" w:rsidRPr="00CF2E7C" w:rsidRDefault="00932E29"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65AD82DE" w14:textId="77777777" w:rsidR="002F0752" w:rsidRPr="00932E29" w:rsidRDefault="00932E29" w:rsidP="00CF2E7C">
            <w:pPr>
              <w:rPr>
                <w:rFonts w:ascii="Calibri" w:eastAsia="Calibri" w:hAnsi="Calibri" w:cs="Calibri"/>
                <w:color w:val="000000" w:themeColor="text1"/>
              </w:rPr>
            </w:pPr>
            <w:r w:rsidRPr="00932E29">
              <w:rPr>
                <w:rFonts w:ascii="Calibri" w:eastAsia="Calibri" w:hAnsi="Calibri" w:cs="Calibri"/>
                <w:color w:val="000000" w:themeColor="text1"/>
              </w:rPr>
              <w:t>The policy tool recommends several measures related to reducing venting and flaring.</w:t>
            </w:r>
          </w:p>
          <w:p w14:paraId="1DA7E925" w14:textId="77777777" w:rsidR="00932E29" w:rsidRPr="00932E29" w:rsidRDefault="00932E29" w:rsidP="00932E29">
            <w:pPr>
              <w:rPr>
                <w:rFonts w:ascii="Calibri" w:eastAsia="Calibri" w:hAnsi="Calibri" w:cs="Calibri"/>
                <w:color w:val="000000" w:themeColor="text1"/>
                <w:lang w:val="en-US"/>
              </w:rPr>
            </w:pPr>
            <w:r w:rsidRPr="00932E29">
              <w:rPr>
                <w:rFonts w:ascii="Calibri" w:eastAsia="Calibri" w:hAnsi="Calibri" w:cs="Calibri"/>
                <w:color w:val="000000" w:themeColor="text1"/>
                <w:lang w:val="en-US"/>
              </w:rPr>
              <w:t>It prioritizes the recovery and use of methane and the avoidance of fugitive emissions during oil and gas production as one of the most cost-effective strategies for methane mitigation.</w:t>
            </w:r>
          </w:p>
          <w:p w14:paraId="4DA80350" w14:textId="77777777" w:rsidR="00932E29" w:rsidRPr="00932E29" w:rsidRDefault="00932E29" w:rsidP="00932E29">
            <w:pPr>
              <w:rPr>
                <w:rFonts w:ascii="Calibri" w:eastAsia="Calibri" w:hAnsi="Calibri" w:cs="Calibri"/>
                <w:color w:val="000000" w:themeColor="text1"/>
                <w:lang w:val="en-US"/>
              </w:rPr>
            </w:pPr>
            <w:r w:rsidRPr="00932E29">
              <w:rPr>
                <w:rFonts w:ascii="Calibri" w:eastAsia="Calibri" w:hAnsi="Calibri" w:cs="Calibri"/>
                <w:color w:val="000000" w:themeColor="text1"/>
                <w:lang w:val="en-US"/>
              </w:rPr>
              <w:lastRenderedPageBreak/>
              <w:t>These actions are part of the national strategy and are led by the Ministry of Mines and Energy, which is tasked with enabling conditions for effective implementation.</w:t>
            </w:r>
          </w:p>
          <w:p w14:paraId="4193E9DB" w14:textId="77777777" w:rsidR="00932E29" w:rsidRPr="00932E29" w:rsidRDefault="00932E29" w:rsidP="00932E29">
            <w:pPr>
              <w:rPr>
                <w:rFonts w:ascii="Calibri" w:eastAsia="Calibri" w:hAnsi="Calibri" w:cs="Calibri"/>
                <w:color w:val="000000" w:themeColor="text1"/>
                <w:lang w:val="en-US"/>
              </w:rPr>
            </w:pPr>
            <w:r w:rsidRPr="00932E29">
              <w:rPr>
                <w:rFonts w:ascii="Calibri" w:eastAsia="Calibri" w:hAnsi="Calibri" w:cs="Calibri"/>
                <w:color w:val="000000" w:themeColor="text1"/>
                <w:lang w:val="en-US"/>
              </w:rPr>
              <w:t>The strategy includes the promotion of projects that utilize captured gas for thermal or electric energy generation, thereby reducing the need for venting and flaring</w:t>
            </w:r>
          </w:p>
          <w:p w14:paraId="14A6A840" w14:textId="302ABD08" w:rsidR="00932E29" w:rsidRPr="00CF2E7C" w:rsidRDefault="00932E29"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6855CA26" w:rsidR="002F0752" w:rsidRPr="00CF2E7C" w:rsidRDefault="00932E2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3E391535" w:rsidR="002F0752" w:rsidRPr="00CF2E7C" w:rsidRDefault="00932E2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6F5732E2" w:rsidR="002F0752" w:rsidRPr="00CF2E7C" w:rsidRDefault="00932E2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4E007EDB" w:rsidR="002F0752" w:rsidRPr="00CF2E7C" w:rsidRDefault="00932E2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040F881B" w:rsidR="002F0752" w:rsidRPr="00CF2E7C" w:rsidRDefault="00932E2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21771008" w:rsidR="002F0752" w:rsidRPr="00CF2E7C" w:rsidRDefault="00932E2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53F4C94B" w:rsidR="002F0752" w:rsidRPr="00932E29" w:rsidRDefault="00932E29" w:rsidP="00CF2E7C">
            <w:pPr>
              <w:rPr>
                <w:rFonts w:ascii="Calibri" w:eastAsia="Calibri" w:hAnsi="Calibri" w:cs="Calibri"/>
                <w:color w:val="000000" w:themeColor="text1"/>
              </w:rPr>
            </w:pPr>
            <w:r w:rsidRPr="00932E29">
              <w:rPr>
                <w:rFonts w:ascii="Calibri" w:eastAsia="Calibri" w:hAnsi="Calibri" w:cs="Calibri"/>
                <w:color w:val="000000" w:themeColor="text1"/>
              </w:rPr>
              <w:t>The strategy recommends the utilization of methane emissions from extractive activities (including associated gas) for energy generation (thermal or electric). This is part of the strategic line on fugitive emissions led by the Ministry of Mines and Energy, which aims to reduce emissions from extraction, processing, production, venting, storage, and distribution of hydrocarbons</w:t>
            </w: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63D40CEE" w:rsidR="002F0752" w:rsidRPr="00CF2E7C" w:rsidRDefault="00932E2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17026B67" w:rsidR="002F0752" w:rsidRPr="00CF2E7C" w:rsidRDefault="00932E2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4CA1D285" w:rsidR="002F0752" w:rsidRPr="00CF2E7C" w:rsidRDefault="00932E2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1614C6" w:rsidR="002F0752" w:rsidRPr="00CF2E7C" w:rsidRDefault="00932E2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2527F5AE" w:rsidR="002F0752" w:rsidRPr="00CF2E7C" w:rsidRDefault="00932E2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29EB1529" w:rsidR="002F0752" w:rsidRPr="00CF2E7C" w:rsidRDefault="00932E2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34001CD1" w:rsidR="002F0752" w:rsidRPr="00CF2E7C" w:rsidRDefault="005F356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35C8416B" w:rsidR="002F0752" w:rsidRPr="00CF2E7C" w:rsidRDefault="005F3565"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2CA1003D" w:rsidR="002F0752" w:rsidRPr="00CF2E7C" w:rsidRDefault="005F3565"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5CBDCEC7" w:rsidR="002F0752" w:rsidRPr="00CF2E7C" w:rsidRDefault="005F3565" w:rsidP="00CF2E7C">
            <w:pPr>
              <w:rPr>
                <w:rFonts w:ascii="Calibri" w:hAnsi="Calibri" w:cs="Calibri"/>
              </w:rPr>
            </w:pPr>
            <w:r>
              <w:rPr>
                <w:rFonts w:ascii="Calibri" w:hAnsi="Calibri" w:cs="Calibri"/>
              </w:rPr>
              <w:t>X</w:t>
            </w: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0C947CBE" w:rsidR="002F0752" w:rsidRPr="005F3565" w:rsidRDefault="005F3565" w:rsidP="00CF2E7C">
            <w:pPr>
              <w:rPr>
                <w:rFonts w:ascii="Calibri" w:hAnsi="Calibri" w:cs="Calibri"/>
              </w:rPr>
            </w:pPr>
            <w:r w:rsidRPr="005F3565">
              <w:rPr>
                <w:rFonts w:ascii="Calibri" w:hAnsi="Calibri" w:cs="Calibri"/>
              </w:rPr>
              <w:t>The policy tool recommends the capture, recovery, and use of methane from coal mining as a mitigation measure, but it does not specify any exceptions to this recommendation.</w:t>
            </w: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0C4B569D" w:rsidR="002F0752" w:rsidRPr="00CF2E7C" w:rsidRDefault="005F3565" w:rsidP="00CF2E7C">
            <w:pPr>
              <w:rPr>
                <w:rFonts w:ascii="Calibri" w:hAnsi="Calibri" w:cs="Calibri"/>
              </w:rPr>
            </w:pPr>
            <w:r>
              <w:rPr>
                <w:rFonts w:ascii="Calibri" w:hAnsi="Calibri" w:cs="Calibri"/>
              </w:rPr>
              <w:t>X</w:t>
            </w: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E8D3226" w14:textId="77777777" w:rsidR="005F3565" w:rsidRPr="005F3565" w:rsidRDefault="005F3565" w:rsidP="005F3565">
            <w:pPr>
              <w:rPr>
                <w:rFonts w:ascii="Calibri" w:hAnsi="Calibri" w:cs="Calibri"/>
                <w:lang w:val="en-US"/>
              </w:rPr>
            </w:pPr>
            <w:r w:rsidRPr="005F3565">
              <w:rPr>
                <w:rFonts w:ascii="Calibri" w:hAnsi="Calibri" w:cs="Calibri"/>
                <w:lang w:val="en-US"/>
              </w:rPr>
              <w:t>The strategy recommends:</w:t>
            </w:r>
          </w:p>
          <w:p w14:paraId="69C9C72D" w14:textId="77777777" w:rsidR="005F3565" w:rsidRPr="005F3565" w:rsidRDefault="005F3565" w:rsidP="005F3565">
            <w:pPr>
              <w:rPr>
                <w:rFonts w:ascii="Calibri" w:hAnsi="Calibri" w:cs="Calibri"/>
                <w:lang w:val="en-US"/>
              </w:rPr>
            </w:pPr>
            <w:r w:rsidRPr="005F3565">
              <w:rPr>
                <w:rFonts w:ascii="Calibri" w:hAnsi="Calibri" w:cs="Calibri"/>
                <w:lang w:val="en-US"/>
              </w:rPr>
              <w:t>Promoting the recovery, use, and oxidation of methane from coal mining and oil/gas operations.</w:t>
            </w:r>
          </w:p>
          <w:p w14:paraId="7CEAEE59" w14:textId="77777777" w:rsidR="005F3565" w:rsidRPr="005F3565" w:rsidRDefault="005F3565" w:rsidP="005F3565">
            <w:pPr>
              <w:rPr>
                <w:rFonts w:ascii="Calibri" w:hAnsi="Calibri" w:cs="Calibri"/>
                <w:lang w:val="en-US"/>
              </w:rPr>
            </w:pPr>
            <w:r w:rsidRPr="005F3565">
              <w:rPr>
                <w:rFonts w:ascii="Calibri" w:hAnsi="Calibri" w:cs="Calibri"/>
                <w:lang w:val="en-US"/>
              </w:rPr>
              <w:t>Supporting the management of fugitive emissions through energy generation projects (thermal or electric).</w:t>
            </w:r>
          </w:p>
          <w:p w14:paraId="5BC6C6D7" w14:textId="77777777" w:rsidR="005F3565" w:rsidRPr="005F3565" w:rsidRDefault="005F3565" w:rsidP="005F3565">
            <w:pPr>
              <w:rPr>
                <w:rFonts w:ascii="Calibri" w:hAnsi="Calibri" w:cs="Calibri"/>
                <w:lang w:val="en-US"/>
              </w:rPr>
            </w:pPr>
            <w:r w:rsidRPr="005F3565">
              <w:rPr>
                <w:rFonts w:ascii="Calibri" w:hAnsi="Calibri" w:cs="Calibri"/>
                <w:lang w:val="en-US"/>
              </w:rPr>
              <w:t>These actions are part of Colombia’s nationally determined contributions and are led by the Ministry of Mines and Energy</w:t>
            </w:r>
          </w:p>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226F4D88" w:rsidR="002F0752" w:rsidRPr="00CF2E7C" w:rsidRDefault="005F3565" w:rsidP="00CF2E7C">
            <w:pPr>
              <w:rPr>
                <w:rFonts w:ascii="Calibri" w:hAnsi="Calibri" w:cs="Calibri"/>
              </w:rPr>
            </w:pPr>
            <w:r>
              <w:rPr>
                <w:rFonts w:ascii="Calibri" w:hAnsi="Calibri" w:cs="Calibri"/>
              </w:rPr>
              <w:t>x</w:t>
            </w: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6D1EBE12" w:rsidR="002F0752" w:rsidRPr="00CF2E7C" w:rsidRDefault="005F3565"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0F456FC4" w:rsidR="002F0752" w:rsidRPr="00CF2E7C" w:rsidRDefault="00CA6F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5DD6A2C" w:rsidR="002F0752" w:rsidRPr="00CF2E7C" w:rsidRDefault="00CA6F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5742B3E8" w:rsidR="002F0752" w:rsidRPr="00CF2E7C" w:rsidRDefault="00CA6F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4F20E206" w:rsidR="002F0752" w:rsidRPr="00CF2E7C" w:rsidRDefault="00CA6F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3B8BE449" w:rsidR="002F0752" w:rsidRPr="00CF2E7C" w:rsidRDefault="00CA6F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432517A" w:rsidR="002F0752" w:rsidRPr="00CF2E7C" w:rsidRDefault="00CA6F85"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5B8D260C" w:rsidR="002F0752" w:rsidRPr="00CF2E7C" w:rsidRDefault="00CA6F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50F9715A" w:rsidR="002F0752" w:rsidRPr="00CF2E7C" w:rsidRDefault="00CA6F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A8970E3" w:rsidR="002F0752" w:rsidRPr="00CF2E7C" w:rsidRDefault="00CA6F85"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00062B3B" w:rsidR="002F0752" w:rsidRPr="00CF2E7C" w:rsidRDefault="00CA6F85"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085BE48A" w:rsidR="002F0752" w:rsidRPr="00CF2E7C" w:rsidRDefault="00CA6F85"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28C98C4F" w14:textId="77777777" w:rsidR="002F0752" w:rsidRPr="00CA6F85" w:rsidRDefault="00CA6F85" w:rsidP="00CF2E7C">
            <w:pPr>
              <w:rPr>
                <w:rFonts w:ascii="Calibri" w:eastAsia="Calibri" w:hAnsi="Calibri" w:cs="Calibri"/>
                <w:color w:val="000000" w:themeColor="text1"/>
              </w:rPr>
            </w:pPr>
            <w:r w:rsidRPr="00CA6F85">
              <w:rPr>
                <w:rFonts w:ascii="Calibri" w:eastAsia="Calibri" w:hAnsi="Calibri" w:cs="Calibri"/>
                <w:color w:val="000000" w:themeColor="text1"/>
              </w:rPr>
              <w:t>The policy tool references the use of Clean Development Mechanism (CDM) projects under the Kyoto Protocol as a financing mechanism. Colombia has registered CDM projects in sectors such as agriculture and waste, which include methane mitigation components. These projects are eligible for international financing and carbon credits, which can indirectly support the uptake of methane abatement measures.</w:t>
            </w:r>
          </w:p>
          <w:p w14:paraId="09D48E36" w14:textId="674390F4" w:rsidR="00CA6F85" w:rsidRPr="00CF2E7C" w:rsidRDefault="00CA6F85" w:rsidP="00CF2E7C">
            <w:pPr>
              <w:rPr>
                <w:rFonts w:ascii="Calibri" w:eastAsia="Calibri" w:hAnsi="Calibri" w:cs="Calibri"/>
                <w:color w:val="000000" w:themeColor="text1"/>
              </w:rPr>
            </w:pPr>
            <w:r w:rsidRPr="00CA6F85">
              <w:rPr>
                <w:rFonts w:ascii="Calibri" w:eastAsia="Calibri" w:hAnsi="Calibri" w:cs="Calibri"/>
                <w:color w:val="000000" w:themeColor="text1"/>
              </w:rPr>
              <w:t>However, the document does not explicitly mention domestic subsidies, grants, or R&amp;D funding specifically targeted at agricultural methane mitigation. Instead, it emphasizes the role of international mechanisms and sectoral planning (e.g., sustainable livestock NAMA) as pathways for implementation and support</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070EE3B9" w:rsidR="002F0752" w:rsidRPr="00CF2E7C" w:rsidRDefault="00CA6F85"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42E3AE" w:rsidR="002F0752" w:rsidRPr="00CF2E7C" w:rsidRDefault="00CA6F8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5E25823F" w:rsidR="002F0752" w:rsidRPr="00CF2E7C" w:rsidRDefault="00CA6F8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60028446" w:rsidR="002F0752" w:rsidRPr="00CF2E7C" w:rsidRDefault="00CA6F85"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B996604" w:rsidR="002F0752" w:rsidRPr="00CF2E7C" w:rsidRDefault="00CA6F8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620E9D7B" w:rsidR="002F0752" w:rsidRPr="00CF2E7C" w:rsidRDefault="00CA6F8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607EC8A4" w:rsidR="002F0752" w:rsidRPr="00CF2E7C" w:rsidRDefault="00CA6F8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7AE43316" w:rsidR="002F0752" w:rsidRPr="00CF2E7C" w:rsidRDefault="00CA6F8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1F88C855" w:rsidR="002F0752" w:rsidRPr="00CF2E7C" w:rsidRDefault="00CA6F8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4161D1F5" w:rsidR="002F0752" w:rsidRPr="00CF2E7C" w:rsidRDefault="00CA6F8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60C07C6B" w:rsidR="002F0752" w:rsidRPr="00CF2E7C" w:rsidRDefault="00CA6F8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5371FB99" w:rsidR="002F0752" w:rsidRPr="00CF2E7C" w:rsidRDefault="00CA6F8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792CF807" w:rsidR="002F0752" w:rsidRPr="00CF2E7C" w:rsidRDefault="00CA6F85"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22693275" w:rsidR="002F0752" w:rsidRPr="00CF2E7C" w:rsidRDefault="00CA6F8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011C2CB0" w:rsidR="002F0752" w:rsidRPr="00CF2E7C" w:rsidRDefault="00CA6F8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30EB0586" w:rsidR="002F0752" w:rsidRPr="00CF2E7C" w:rsidRDefault="00CA6F8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698D3A17" w:rsidR="002F0752" w:rsidRPr="00CF2E7C" w:rsidRDefault="00CA6F8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69FA6BAE" w:rsidR="002F0752" w:rsidRPr="00CF2E7C" w:rsidRDefault="00CA6F8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4701DE8F" w:rsidR="002F0752" w:rsidRPr="00CF2E7C" w:rsidRDefault="00CA6F8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19F8C1F1" w:rsidR="002F0752" w:rsidRPr="00CF2E7C" w:rsidRDefault="00CA6F8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DC5818" w14:textId="77777777" w:rsidR="00BD75B5" w:rsidRDefault="00BD75B5" w:rsidP="00874E39">
      <w:r>
        <w:separator/>
      </w:r>
    </w:p>
  </w:endnote>
  <w:endnote w:type="continuationSeparator" w:id="0">
    <w:p w14:paraId="225EEF51" w14:textId="77777777" w:rsidR="00BD75B5" w:rsidRDefault="00BD75B5" w:rsidP="00874E39">
      <w:r>
        <w:continuationSeparator/>
      </w:r>
    </w:p>
  </w:endnote>
  <w:endnote w:type="continuationNotice" w:id="1">
    <w:p w14:paraId="081DE746" w14:textId="77777777" w:rsidR="00BD75B5" w:rsidRDefault="00BD75B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854E7E" w14:textId="77777777" w:rsidR="00BD75B5" w:rsidRDefault="00BD75B5" w:rsidP="00874E39">
      <w:r>
        <w:separator/>
      </w:r>
    </w:p>
  </w:footnote>
  <w:footnote w:type="continuationSeparator" w:id="0">
    <w:p w14:paraId="01F1D491" w14:textId="77777777" w:rsidR="00BD75B5" w:rsidRDefault="00BD75B5" w:rsidP="00874E39">
      <w:r>
        <w:continuationSeparator/>
      </w:r>
    </w:p>
  </w:footnote>
  <w:footnote w:type="continuationNotice" w:id="1">
    <w:p w14:paraId="504348B8" w14:textId="77777777" w:rsidR="00BD75B5" w:rsidRDefault="00BD75B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4C821CE"/>
    <w:multiLevelType w:val="multilevel"/>
    <w:tmpl w:val="4866DC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1E305B35"/>
    <w:multiLevelType w:val="multilevel"/>
    <w:tmpl w:val="7506EE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25F268D"/>
    <w:multiLevelType w:val="multilevel"/>
    <w:tmpl w:val="3E78E5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B8F7552"/>
    <w:multiLevelType w:val="multilevel"/>
    <w:tmpl w:val="3F4A87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91673B0"/>
    <w:multiLevelType w:val="multilevel"/>
    <w:tmpl w:val="E8FE04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9B1F15"/>
    <w:multiLevelType w:val="multilevel"/>
    <w:tmpl w:val="5CFEFC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37057DD"/>
    <w:multiLevelType w:val="multilevel"/>
    <w:tmpl w:val="182802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4"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5" w15:restartNumberingAfterBreak="0">
    <w:nsid w:val="78966FEA"/>
    <w:multiLevelType w:val="multilevel"/>
    <w:tmpl w:val="54D857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680666882">
    <w:abstractNumId w:val="18"/>
  </w:num>
  <w:num w:numId="2" w16cid:durableId="482308869">
    <w:abstractNumId w:val="26"/>
  </w:num>
  <w:num w:numId="3" w16cid:durableId="690952733">
    <w:abstractNumId w:val="46"/>
  </w:num>
  <w:num w:numId="4" w16cid:durableId="1689330127">
    <w:abstractNumId w:val="1"/>
  </w:num>
  <w:num w:numId="5" w16cid:durableId="401291788">
    <w:abstractNumId w:val="31"/>
  </w:num>
  <w:num w:numId="6" w16cid:durableId="1276788690">
    <w:abstractNumId w:val="15"/>
  </w:num>
  <w:num w:numId="7" w16cid:durableId="566767730">
    <w:abstractNumId w:val="23"/>
  </w:num>
  <w:num w:numId="8" w16cid:durableId="1780710843">
    <w:abstractNumId w:val="38"/>
  </w:num>
  <w:num w:numId="9" w16cid:durableId="1685783054">
    <w:abstractNumId w:val="4"/>
  </w:num>
  <w:num w:numId="10" w16cid:durableId="950551298">
    <w:abstractNumId w:val="35"/>
  </w:num>
  <w:num w:numId="11" w16cid:durableId="1591960799">
    <w:abstractNumId w:val="54"/>
  </w:num>
  <w:num w:numId="12" w16cid:durableId="1344891410">
    <w:abstractNumId w:val="10"/>
  </w:num>
  <w:num w:numId="13" w16cid:durableId="2023899324">
    <w:abstractNumId w:val="13"/>
  </w:num>
  <w:num w:numId="14" w16cid:durableId="430587014">
    <w:abstractNumId w:val="8"/>
  </w:num>
  <w:num w:numId="15" w16cid:durableId="1742869061">
    <w:abstractNumId w:val="34"/>
  </w:num>
  <w:num w:numId="16" w16cid:durableId="1996450437">
    <w:abstractNumId w:val="22"/>
  </w:num>
  <w:num w:numId="17" w16cid:durableId="1529031027">
    <w:abstractNumId w:val="9"/>
  </w:num>
  <w:num w:numId="18" w16cid:durableId="568614617">
    <w:abstractNumId w:val="20"/>
  </w:num>
  <w:num w:numId="19" w16cid:durableId="1530605858">
    <w:abstractNumId w:val="47"/>
  </w:num>
  <w:num w:numId="20" w16cid:durableId="1328172586">
    <w:abstractNumId w:val="17"/>
  </w:num>
  <w:num w:numId="21" w16cid:durableId="184827816">
    <w:abstractNumId w:val="30"/>
  </w:num>
  <w:num w:numId="22" w16cid:durableId="1785346599">
    <w:abstractNumId w:val="37"/>
  </w:num>
  <w:num w:numId="23" w16cid:durableId="1294288901">
    <w:abstractNumId w:val="29"/>
  </w:num>
  <w:num w:numId="24" w16cid:durableId="1603957975">
    <w:abstractNumId w:val="50"/>
  </w:num>
  <w:num w:numId="25" w16cid:durableId="1659531047">
    <w:abstractNumId w:val="49"/>
  </w:num>
  <w:num w:numId="26" w16cid:durableId="752774403">
    <w:abstractNumId w:val="25"/>
  </w:num>
  <w:num w:numId="27" w16cid:durableId="347872198">
    <w:abstractNumId w:val="7"/>
  </w:num>
  <w:num w:numId="28" w16cid:durableId="537133110">
    <w:abstractNumId w:val="14"/>
  </w:num>
  <w:num w:numId="29" w16cid:durableId="1632318729">
    <w:abstractNumId w:val="51"/>
  </w:num>
  <w:num w:numId="30" w16cid:durableId="1268124074">
    <w:abstractNumId w:val="36"/>
  </w:num>
  <w:num w:numId="31" w16cid:durableId="887108748">
    <w:abstractNumId w:val="32"/>
  </w:num>
  <w:num w:numId="32" w16cid:durableId="1826125712">
    <w:abstractNumId w:val="39"/>
  </w:num>
  <w:num w:numId="33" w16cid:durableId="823357978">
    <w:abstractNumId w:val="43"/>
  </w:num>
  <w:num w:numId="34" w16cid:durableId="1092120443">
    <w:abstractNumId w:val="42"/>
  </w:num>
  <w:num w:numId="35" w16cid:durableId="124861188">
    <w:abstractNumId w:val="12"/>
  </w:num>
  <w:num w:numId="36" w16cid:durableId="1952588250">
    <w:abstractNumId w:val="41"/>
  </w:num>
  <w:num w:numId="37" w16cid:durableId="1712027211">
    <w:abstractNumId w:val="5"/>
  </w:num>
  <w:num w:numId="38" w16cid:durableId="2033795929">
    <w:abstractNumId w:val="3"/>
  </w:num>
  <w:num w:numId="39" w16cid:durableId="1238595582">
    <w:abstractNumId w:val="27"/>
  </w:num>
  <w:num w:numId="40" w16cid:durableId="416558262">
    <w:abstractNumId w:val="24"/>
  </w:num>
  <w:num w:numId="41" w16cid:durableId="1543715517">
    <w:abstractNumId w:val="21"/>
  </w:num>
  <w:num w:numId="42" w16cid:durableId="452208391">
    <w:abstractNumId w:val="16"/>
  </w:num>
  <w:num w:numId="43" w16cid:durableId="260340070">
    <w:abstractNumId w:val="0"/>
  </w:num>
  <w:num w:numId="44" w16cid:durableId="1639914969">
    <w:abstractNumId w:val="6"/>
  </w:num>
  <w:num w:numId="45" w16cid:durableId="1554191892">
    <w:abstractNumId w:val="45"/>
  </w:num>
  <w:num w:numId="46" w16cid:durableId="947811845">
    <w:abstractNumId w:val="53"/>
  </w:num>
  <w:num w:numId="47" w16cid:durableId="342588554">
    <w:abstractNumId w:val="28"/>
  </w:num>
  <w:num w:numId="48" w16cid:durableId="318391343">
    <w:abstractNumId w:val="40"/>
  </w:num>
  <w:num w:numId="49" w16cid:durableId="1030032003">
    <w:abstractNumId w:val="52"/>
  </w:num>
  <w:num w:numId="50" w16cid:durableId="1556622140">
    <w:abstractNumId w:val="33"/>
  </w:num>
  <w:num w:numId="51" w16cid:durableId="415060289">
    <w:abstractNumId w:val="44"/>
  </w:num>
  <w:num w:numId="52" w16cid:durableId="17584496">
    <w:abstractNumId w:val="19"/>
  </w:num>
  <w:num w:numId="53" w16cid:durableId="1550071115">
    <w:abstractNumId w:val="11"/>
  </w:num>
  <w:num w:numId="54" w16cid:durableId="992294209">
    <w:abstractNumId w:val="48"/>
  </w:num>
  <w:num w:numId="55" w16cid:durableId="1285426136">
    <w:abstractNumId w:val="2"/>
  </w:num>
  <w:num w:numId="56" w16cid:durableId="1500151760">
    <w:abstractNumId w:val="5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6"/>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24D"/>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40F2"/>
    <w:rsid w:val="003C5BA2"/>
    <w:rsid w:val="003D17C7"/>
    <w:rsid w:val="003D1B49"/>
    <w:rsid w:val="003D1CF3"/>
    <w:rsid w:val="003D207B"/>
    <w:rsid w:val="003D244B"/>
    <w:rsid w:val="003D2F57"/>
    <w:rsid w:val="003D3BFC"/>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0B86"/>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4F0C"/>
    <w:rsid w:val="00545554"/>
    <w:rsid w:val="0054662E"/>
    <w:rsid w:val="0054680A"/>
    <w:rsid w:val="00547B98"/>
    <w:rsid w:val="0055251F"/>
    <w:rsid w:val="00553BB6"/>
    <w:rsid w:val="00554079"/>
    <w:rsid w:val="00554F39"/>
    <w:rsid w:val="0055593D"/>
    <w:rsid w:val="005576AE"/>
    <w:rsid w:val="00561513"/>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3565"/>
    <w:rsid w:val="005F444D"/>
    <w:rsid w:val="005F4B1C"/>
    <w:rsid w:val="005F4D8C"/>
    <w:rsid w:val="005F7A89"/>
    <w:rsid w:val="005F7AC4"/>
    <w:rsid w:val="00601397"/>
    <w:rsid w:val="00602155"/>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2F4"/>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7786B"/>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12A"/>
    <w:rsid w:val="00763C64"/>
    <w:rsid w:val="00764D1A"/>
    <w:rsid w:val="00764DB3"/>
    <w:rsid w:val="00765130"/>
    <w:rsid w:val="007653FB"/>
    <w:rsid w:val="0076706A"/>
    <w:rsid w:val="0077017A"/>
    <w:rsid w:val="007710D7"/>
    <w:rsid w:val="00771E23"/>
    <w:rsid w:val="00773639"/>
    <w:rsid w:val="00774353"/>
    <w:rsid w:val="00775056"/>
    <w:rsid w:val="007759A9"/>
    <w:rsid w:val="007759EF"/>
    <w:rsid w:val="00775C7B"/>
    <w:rsid w:val="00777550"/>
    <w:rsid w:val="00777BF4"/>
    <w:rsid w:val="00777E1D"/>
    <w:rsid w:val="007802C6"/>
    <w:rsid w:val="00780388"/>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2727D"/>
    <w:rsid w:val="009307C9"/>
    <w:rsid w:val="0093086E"/>
    <w:rsid w:val="00931F08"/>
    <w:rsid w:val="00932230"/>
    <w:rsid w:val="00932E29"/>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2F"/>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3E2"/>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D75B5"/>
    <w:rsid w:val="00BE049B"/>
    <w:rsid w:val="00BE0825"/>
    <w:rsid w:val="00BE13CB"/>
    <w:rsid w:val="00BE1F9E"/>
    <w:rsid w:val="00BE2557"/>
    <w:rsid w:val="00BE2BF8"/>
    <w:rsid w:val="00BE3B1E"/>
    <w:rsid w:val="00BE408D"/>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6F85"/>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1EF"/>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A45"/>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07A37"/>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792"/>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694"/>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158513">
      <w:bodyDiv w:val="1"/>
      <w:marLeft w:val="0"/>
      <w:marRight w:val="0"/>
      <w:marTop w:val="0"/>
      <w:marBottom w:val="0"/>
      <w:divBdr>
        <w:top w:val="none" w:sz="0" w:space="0" w:color="auto"/>
        <w:left w:val="none" w:sz="0" w:space="0" w:color="auto"/>
        <w:bottom w:val="none" w:sz="0" w:space="0" w:color="auto"/>
        <w:right w:val="none" w:sz="0" w:space="0" w:color="auto"/>
      </w:divBdr>
      <w:divsChild>
        <w:div w:id="875654962">
          <w:marLeft w:val="0"/>
          <w:marRight w:val="0"/>
          <w:marTop w:val="0"/>
          <w:marBottom w:val="0"/>
          <w:divBdr>
            <w:top w:val="none" w:sz="0" w:space="0" w:color="auto"/>
            <w:left w:val="none" w:sz="0" w:space="0" w:color="auto"/>
            <w:bottom w:val="none" w:sz="0" w:space="0" w:color="auto"/>
            <w:right w:val="none" w:sz="0" w:space="0" w:color="auto"/>
          </w:divBdr>
        </w:div>
        <w:div w:id="95909813">
          <w:marLeft w:val="0"/>
          <w:marRight w:val="0"/>
          <w:marTop w:val="0"/>
          <w:marBottom w:val="0"/>
          <w:divBdr>
            <w:top w:val="none" w:sz="0" w:space="0" w:color="auto"/>
            <w:left w:val="none" w:sz="0" w:space="0" w:color="auto"/>
            <w:bottom w:val="none" w:sz="0" w:space="0" w:color="auto"/>
            <w:right w:val="none" w:sz="0" w:space="0" w:color="auto"/>
          </w:divBdr>
        </w:div>
      </w:divsChild>
    </w:div>
    <w:div w:id="156267629">
      <w:bodyDiv w:val="1"/>
      <w:marLeft w:val="0"/>
      <w:marRight w:val="0"/>
      <w:marTop w:val="0"/>
      <w:marBottom w:val="0"/>
      <w:divBdr>
        <w:top w:val="none" w:sz="0" w:space="0" w:color="auto"/>
        <w:left w:val="none" w:sz="0" w:space="0" w:color="auto"/>
        <w:bottom w:val="none" w:sz="0" w:space="0" w:color="auto"/>
        <w:right w:val="none" w:sz="0" w:space="0" w:color="auto"/>
      </w:divBdr>
      <w:divsChild>
        <w:div w:id="99224247">
          <w:marLeft w:val="0"/>
          <w:marRight w:val="0"/>
          <w:marTop w:val="0"/>
          <w:marBottom w:val="0"/>
          <w:divBdr>
            <w:top w:val="none" w:sz="0" w:space="0" w:color="auto"/>
            <w:left w:val="none" w:sz="0" w:space="0" w:color="auto"/>
            <w:bottom w:val="none" w:sz="0" w:space="0" w:color="auto"/>
            <w:right w:val="none" w:sz="0" w:space="0" w:color="auto"/>
          </w:divBdr>
        </w:div>
      </w:divsChild>
    </w:div>
    <w:div w:id="192772924">
      <w:bodyDiv w:val="1"/>
      <w:marLeft w:val="0"/>
      <w:marRight w:val="0"/>
      <w:marTop w:val="0"/>
      <w:marBottom w:val="0"/>
      <w:divBdr>
        <w:top w:val="none" w:sz="0" w:space="0" w:color="auto"/>
        <w:left w:val="none" w:sz="0" w:space="0" w:color="auto"/>
        <w:bottom w:val="none" w:sz="0" w:space="0" w:color="auto"/>
        <w:right w:val="none" w:sz="0" w:space="0" w:color="auto"/>
      </w:divBdr>
      <w:divsChild>
        <w:div w:id="1684824761">
          <w:marLeft w:val="0"/>
          <w:marRight w:val="0"/>
          <w:marTop w:val="0"/>
          <w:marBottom w:val="0"/>
          <w:divBdr>
            <w:top w:val="none" w:sz="0" w:space="0" w:color="auto"/>
            <w:left w:val="none" w:sz="0" w:space="0" w:color="auto"/>
            <w:bottom w:val="none" w:sz="0" w:space="0" w:color="auto"/>
            <w:right w:val="none" w:sz="0" w:space="0" w:color="auto"/>
          </w:divBdr>
        </w:div>
      </w:divsChild>
    </w:div>
    <w:div w:id="381296757">
      <w:bodyDiv w:val="1"/>
      <w:marLeft w:val="0"/>
      <w:marRight w:val="0"/>
      <w:marTop w:val="0"/>
      <w:marBottom w:val="0"/>
      <w:divBdr>
        <w:top w:val="none" w:sz="0" w:space="0" w:color="auto"/>
        <w:left w:val="none" w:sz="0" w:space="0" w:color="auto"/>
        <w:bottom w:val="none" w:sz="0" w:space="0" w:color="auto"/>
        <w:right w:val="none" w:sz="0" w:space="0" w:color="auto"/>
      </w:divBdr>
      <w:divsChild>
        <w:div w:id="700328029">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14933683">
      <w:bodyDiv w:val="1"/>
      <w:marLeft w:val="0"/>
      <w:marRight w:val="0"/>
      <w:marTop w:val="0"/>
      <w:marBottom w:val="0"/>
      <w:divBdr>
        <w:top w:val="none" w:sz="0" w:space="0" w:color="auto"/>
        <w:left w:val="none" w:sz="0" w:space="0" w:color="auto"/>
        <w:bottom w:val="none" w:sz="0" w:space="0" w:color="auto"/>
        <w:right w:val="none" w:sz="0" w:space="0" w:color="auto"/>
      </w:divBdr>
    </w:div>
    <w:div w:id="730077569">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782387">
      <w:bodyDiv w:val="1"/>
      <w:marLeft w:val="0"/>
      <w:marRight w:val="0"/>
      <w:marTop w:val="0"/>
      <w:marBottom w:val="0"/>
      <w:divBdr>
        <w:top w:val="none" w:sz="0" w:space="0" w:color="auto"/>
        <w:left w:val="none" w:sz="0" w:space="0" w:color="auto"/>
        <w:bottom w:val="none" w:sz="0" w:space="0" w:color="auto"/>
        <w:right w:val="none" w:sz="0" w:space="0" w:color="auto"/>
      </w:divBdr>
    </w:div>
    <w:div w:id="907347371">
      <w:bodyDiv w:val="1"/>
      <w:marLeft w:val="0"/>
      <w:marRight w:val="0"/>
      <w:marTop w:val="0"/>
      <w:marBottom w:val="0"/>
      <w:divBdr>
        <w:top w:val="none" w:sz="0" w:space="0" w:color="auto"/>
        <w:left w:val="none" w:sz="0" w:space="0" w:color="auto"/>
        <w:bottom w:val="none" w:sz="0" w:space="0" w:color="auto"/>
        <w:right w:val="none" w:sz="0" w:space="0" w:color="auto"/>
      </w:divBdr>
    </w:div>
    <w:div w:id="1158883772">
      <w:bodyDiv w:val="1"/>
      <w:marLeft w:val="0"/>
      <w:marRight w:val="0"/>
      <w:marTop w:val="0"/>
      <w:marBottom w:val="0"/>
      <w:divBdr>
        <w:top w:val="none" w:sz="0" w:space="0" w:color="auto"/>
        <w:left w:val="none" w:sz="0" w:space="0" w:color="auto"/>
        <w:bottom w:val="none" w:sz="0" w:space="0" w:color="auto"/>
        <w:right w:val="none" w:sz="0" w:space="0" w:color="auto"/>
      </w:divBdr>
      <w:divsChild>
        <w:div w:id="1842626576">
          <w:marLeft w:val="0"/>
          <w:marRight w:val="0"/>
          <w:marTop w:val="0"/>
          <w:marBottom w:val="0"/>
          <w:divBdr>
            <w:top w:val="none" w:sz="0" w:space="0" w:color="auto"/>
            <w:left w:val="none" w:sz="0" w:space="0" w:color="auto"/>
            <w:bottom w:val="none" w:sz="0" w:space="0" w:color="auto"/>
            <w:right w:val="none" w:sz="0" w:space="0" w:color="auto"/>
          </w:divBdr>
        </w:div>
      </w:divsChild>
    </w:div>
    <w:div w:id="118201299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829953">
      <w:bodyDiv w:val="1"/>
      <w:marLeft w:val="0"/>
      <w:marRight w:val="0"/>
      <w:marTop w:val="0"/>
      <w:marBottom w:val="0"/>
      <w:divBdr>
        <w:top w:val="none" w:sz="0" w:space="0" w:color="auto"/>
        <w:left w:val="none" w:sz="0" w:space="0" w:color="auto"/>
        <w:bottom w:val="none" w:sz="0" w:space="0" w:color="auto"/>
        <w:right w:val="none" w:sz="0" w:space="0" w:color="auto"/>
      </w:divBdr>
    </w:div>
    <w:div w:id="1380935709">
      <w:bodyDiv w:val="1"/>
      <w:marLeft w:val="0"/>
      <w:marRight w:val="0"/>
      <w:marTop w:val="0"/>
      <w:marBottom w:val="0"/>
      <w:divBdr>
        <w:top w:val="none" w:sz="0" w:space="0" w:color="auto"/>
        <w:left w:val="none" w:sz="0" w:space="0" w:color="auto"/>
        <w:bottom w:val="none" w:sz="0" w:space="0" w:color="auto"/>
        <w:right w:val="none" w:sz="0" w:space="0" w:color="auto"/>
      </w:divBdr>
    </w:div>
    <w:div w:id="1580747114">
      <w:bodyDiv w:val="1"/>
      <w:marLeft w:val="0"/>
      <w:marRight w:val="0"/>
      <w:marTop w:val="0"/>
      <w:marBottom w:val="0"/>
      <w:divBdr>
        <w:top w:val="none" w:sz="0" w:space="0" w:color="auto"/>
        <w:left w:val="none" w:sz="0" w:space="0" w:color="auto"/>
        <w:bottom w:val="none" w:sz="0" w:space="0" w:color="auto"/>
        <w:right w:val="none" w:sz="0" w:space="0" w:color="auto"/>
      </w:divBdr>
    </w:div>
    <w:div w:id="172798980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12544980">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601606">
      <w:bodyDiv w:val="1"/>
      <w:marLeft w:val="0"/>
      <w:marRight w:val="0"/>
      <w:marTop w:val="0"/>
      <w:marBottom w:val="0"/>
      <w:divBdr>
        <w:top w:val="none" w:sz="0" w:space="0" w:color="auto"/>
        <w:left w:val="none" w:sz="0" w:space="0" w:color="auto"/>
        <w:bottom w:val="none" w:sz="0" w:space="0" w:color="auto"/>
        <w:right w:val="none" w:sz="0" w:space="0" w:color="auto"/>
      </w:divBdr>
    </w:div>
    <w:div w:id="2126656400">
      <w:bodyDiv w:val="1"/>
      <w:marLeft w:val="0"/>
      <w:marRight w:val="0"/>
      <w:marTop w:val="0"/>
      <w:marBottom w:val="0"/>
      <w:divBdr>
        <w:top w:val="none" w:sz="0" w:space="0" w:color="auto"/>
        <w:left w:val="none" w:sz="0" w:space="0" w:color="auto"/>
        <w:bottom w:val="none" w:sz="0" w:space="0" w:color="auto"/>
        <w:right w:val="none" w:sz="0" w:space="0" w:color="auto"/>
      </w:divBdr>
    </w:div>
    <w:div w:id="2127693740">
      <w:bodyDiv w:val="1"/>
      <w:marLeft w:val="0"/>
      <w:marRight w:val="0"/>
      <w:marTop w:val="0"/>
      <w:marBottom w:val="0"/>
      <w:divBdr>
        <w:top w:val="none" w:sz="0" w:space="0" w:color="auto"/>
        <w:left w:val="none" w:sz="0" w:space="0" w:color="auto"/>
        <w:bottom w:val="none" w:sz="0" w:space="0" w:color="auto"/>
        <w:right w:val="none" w:sz="0" w:space="0" w:color="auto"/>
      </w:divBdr>
      <w:divsChild>
        <w:div w:id="373893465">
          <w:marLeft w:val="0"/>
          <w:marRight w:val="0"/>
          <w:marTop w:val="0"/>
          <w:marBottom w:val="0"/>
          <w:divBdr>
            <w:top w:val="none" w:sz="0" w:space="0" w:color="auto"/>
            <w:left w:val="none" w:sz="0" w:space="0" w:color="auto"/>
            <w:bottom w:val="none" w:sz="0" w:space="0" w:color="auto"/>
            <w:right w:val="none" w:sz="0" w:space="0" w:color="auto"/>
          </w:divBdr>
        </w:div>
        <w:div w:id="123215698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docs.google.com/document/d/1uXHsk-NOQj-p8fVEu_q7Q6E2i-E1qxWsR3VOFB2jDHw/edit?tab=t.0" TargetMode="External"/><Relationship Id="rId18" Type="http://schemas.openxmlformats.org/officeDocument/2006/relationships/hyperlink" Target="https://web.archive.org/web/20250711164401/https://www.ccacoalition.org/sites/default/files/resources/ESTRATEGIA%20MITIGACI%C3%93N%20CONTAMINANTES%20VIDA%20CORTA.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yperlink" Target="mailto:netzerohub@bsg.ox.ac.uk" TargetMode="Externa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roperties xmlns="http://www.imanage.com/work/xmlschema">
  <documentid>NORTHLATAM!11711191.1</documentid>
  <senderid>JUAN.FELIPE.TABOADA</senderid>
  <senderemail>JUAN.FELIPE.TABOADA@GARRIGUES.COM</senderemail>
  <lastmodified>2025-07-10T20:09:00.0000000-05:00</lastmodified>
  <database>NORTHLATAM</database>
</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885454BF-59A8-49C3-92A9-11CA690B0245}">
  <ds:schemaRefs>
    <ds:schemaRef ds:uri="http://www.imanage.com/work/xmlschema"/>
  </ds:schemaRefs>
</ds:datastoreItem>
</file>

<file path=customXml/itemProps4.xml><?xml version="1.0" encoding="utf-8"?>
<ds:datastoreItem xmlns:ds="http://schemas.openxmlformats.org/officeDocument/2006/customXml" ds:itemID="{37FAC565-024D-4760-9911-1030BDB1F1AF}"/>
</file>

<file path=customXml/itemProps5.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115</Pages>
  <Words>23032</Words>
  <Characters>137047</Characters>
  <Application>Microsoft Office Word</Application>
  <DocSecurity>0</DocSecurity>
  <Lines>8565</Lines>
  <Paragraphs>5002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155077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Nicolas Guerrero</cp:lastModifiedBy>
  <cp:revision>3</cp:revision>
  <cp:lastPrinted>2025-03-21T00:14:00Z</cp:lastPrinted>
  <dcterms:created xsi:type="dcterms:W3CDTF">2025-07-11T01:09:00Z</dcterms:created>
  <dcterms:modified xsi:type="dcterms:W3CDTF">2025-07-11T16:46:00Z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